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77" w:rsidRDefault="00D66B77" w:rsidP="006739A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739A0" w:rsidRPr="006739A0" w:rsidRDefault="00D66B77" w:rsidP="006739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PROGRAMA OPERATIVO</w:t>
      </w:r>
    </w:p>
    <w:p w:rsidR="00961780" w:rsidRDefault="00320F55" w:rsidP="006739A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ENERO</w:t>
      </w:r>
      <w:r w:rsidR="00542DB0">
        <w:rPr>
          <w:b/>
          <w:sz w:val="32"/>
          <w:szCs w:val="32"/>
        </w:rPr>
        <w:t xml:space="preserve"> A DICIEMBRE 2020</w:t>
      </w:r>
      <w:r w:rsidR="006739A0" w:rsidRPr="006739A0">
        <w:rPr>
          <w:sz w:val="32"/>
          <w:szCs w:val="32"/>
        </w:rPr>
        <w:t>.</w:t>
      </w:r>
    </w:p>
    <w:p w:rsidR="007F6E6B" w:rsidRDefault="007F6E6B" w:rsidP="006739A0">
      <w:pPr>
        <w:jc w:val="center"/>
        <w:rPr>
          <w:sz w:val="32"/>
          <w:szCs w:val="32"/>
        </w:rPr>
      </w:pPr>
    </w:p>
    <w:p w:rsidR="006739A0" w:rsidRPr="007F6E6B" w:rsidRDefault="007F6E6B" w:rsidP="007F6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(COMUR)</w:t>
      </w:r>
    </w:p>
    <w:p w:rsidR="006739A0" w:rsidRDefault="006739A0" w:rsidP="007F6E6B">
      <w:pPr>
        <w:jc w:val="center"/>
        <w:rPr>
          <w:b/>
          <w:sz w:val="28"/>
          <w:szCs w:val="28"/>
        </w:rPr>
      </w:pPr>
      <w:r w:rsidRPr="006739A0">
        <w:rPr>
          <w:b/>
          <w:sz w:val="28"/>
          <w:szCs w:val="28"/>
        </w:rPr>
        <w:t xml:space="preserve">COMITÉ </w:t>
      </w:r>
      <w:r>
        <w:rPr>
          <w:b/>
          <w:sz w:val="28"/>
          <w:szCs w:val="28"/>
        </w:rPr>
        <w:t xml:space="preserve">MUNICIPAL </w:t>
      </w:r>
      <w:r w:rsidRPr="006739A0">
        <w:rPr>
          <w:b/>
          <w:sz w:val="28"/>
          <w:szCs w:val="28"/>
        </w:rPr>
        <w:t>DE REGULARIZACIÓN DE PREDIOS URBANOS</w:t>
      </w:r>
    </w:p>
    <w:p w:rsidR="006739A0" w:rsidRPr="007F6E6B" w:rsidRDefault="006739A0" w:rsidP="007F6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MUNICIPIO DE CABO CORRIENTES, JALISCO.</w:t>
      </w:r>
    </w:p>
    <w:p w:rsidR="0089304A" w:rsidRPr="0089304A" w:rsidRDefault="0089304A" w:rsidP="00200D08">
      <w:pPr>
        <w:jc w:val="both"/>
        <w:rPr>
          <w:b/>
        </w:rPr>
      </w:pPr>
    </w:p>
    <w:p w:rsidR="007C34F7" w:rsidRPr="0089304A" w:rsidRDefault="007F6E6B" w:rsidP="007F6E6B">
      <w:pPr>
        <w:jc w:val="center"/>
        <w:rPr>
          <w:b/>
        </w:rPr>
      </w:pPr>
      <w:r>
        <w:rPr>
          <w:b/>
        </w:rPr>
        <w:t>ANTECEDENTES</w:t>
      </w:r>
    </w:p>
    <w:p w:rsidR="00CF33A9" w:rsidRDefault="00CF33A9" w:rsidP="00324AD6">
      <w:pPr>
        <w:autoSpaceDE w:val="0"/>
        <w:autoSpaceDN w:val="0"/>
        <w:adjustRightInd w:val="0"/>
        <w:ind w:firstLine="708"/>
        <w:jc w:val="both"/>
      </w:pPr>
      <w:r>
        <w:t xml:space="preserve">En el estado de Jalisco  los Decretos 16,664 y respectivas modificaciones contenidas en el diverso 19,580 y 20920 el gobierno estatal implemento </w:t>
      </w:r>
      <w:r w:rsidR="00B17A6C">
        <w:t>las políticas</w:t>
      </w:r>
      <w:r>
        <w:t xml:space="preserve"> para regularizar los asentamientos</w:t>
      </w:r>
      <w:r w:rsidR="006739A0">
        <w:t xml:space="preserve"> urbanos</w:t>
      </w:r>
      <w:r>
        <w:t xml:space="preserve"> en predios particulares</w:t>
      </w:r>
      <w:r w:rsidR="00B17A6C">
        <w:t xml:space="preserve">. Estos instrumentos solo aplicaban en predios de propiedad particular, por lo </w:t>
      </w:r>
      <w:r w:rsidR="006739A0">
        <w:t>que esto representaba</w:t>
      </w:r>
      <w:r w:rsidR="00B17A6C">
        <w:t xml:space="preserve"> una limitante en nuestro Municipio ya que la mayor parte de los asentamientos en este Municipio se ubican dentro de los po</w:t>
      </w:r>
      <w:r w:rsidR="006739A0">
        <w:t>lígonos de régimen social en</w:t>
      </w:r>
      <w:r w:rsidR="00B17A6C">
        <w:t xml:space="preserve"> comunidades y ejidos.</w:t>
      </w:r>
    </w:p>
    <w:p w:rsidR="00B17A6C" w:rsidRDefault="00B17A6C" w:rsidP="00324AD6">
      <w:pPr>
        <w:autoSpaceDE w:val="0"/>
        <w:autoSpaceDN w:val="0"/>
        <w:adjustRightInd w:val="0"/>
        <w:ind w:firstLine="708"/>
        <w:jc w:val="both"/>
      </w:pPr>
    </w:p>
    <w:p w:rsidR="00324AD6" w:rsidRDefault="00324AD6" w:rsidP="00324AD6">
      <w:pPr>
        <w:autoSpaceDE w:val="0"/>
        <w:autoSpaceDN w:val="0"/>
        <w:adjustRightInd w:val="0"/>
        <w:ind w:firstLine="708"/>
        <w:jc w:val="both"/>
      </w:pPr>
      <w:r>
        <w:t xml:space="preserve">El Municipio de Cabo Corrientes cuenta con aproximadamente </w:t>
      </w:r>
      <w:r w:rsidR="00887296">
        <w:t xml:space="preserve">35 zonas urbanas con </w:t>
      </w:r>
      <w:r w:rsidR="006E7F91">
        <w:t>más</w:t>
      </w:r>
      <w:r w:rsidR="00887296">
        <w:t xml:space="preserve"> de dos servicios públicos las cuales de acuerdo al censo INEGI 2010 son las siguientes:</w:t>
      </w:r>
    </w:p>
    <w:p w:rsidR="00887296" w:rsidRDefault="00887296" w:rsidP="00324AD6">
      <w:pPr>
        <w:autoSpaceDE w:val="0"/>
        <w:autoSpaceDN w:val="0"/>
        <w:adjustRightInd w:val="0"/>
        <w:ind w:firstLine="708"/>
        <w:jc w:val="both"/>
      </w:pPr>
    </w:p>
    <w:tbl>
      <w:tblPr>
        <w:tblW w:w="7180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200"/>
        <w:gridCol w:w="1200"/>
      </w:tblGrid>
      <w:tr w:rsidR="00887296" w:rsidRPr="00887296" w:rsidTr="00887296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87296" w:rsidRPr="00887296" w:rsidRDefault="00887296" w:rsidP="008872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7296">
              <w:rPr>
                <w:rFonts w:ascii="Calibri" w:hAnsi="Calibri" w:cs="Calibri"/>
                <w:b/>
                <w:bCs/>
                <w:sz w:val="20"/>
                <w:szCs w:val="20"/>
              </w:rPr>
              <w:t>Localidad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87296" w:rsidRPr="00887296" w:rsidRDefault="00596BBD" w:rsidP="008872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Población T</w:t>
            </w:r>
            <w:r w:rsidR="00887296" w:rsidRPr="00887296">
              <w:rPr>
                <w:rFonts w:ascii="Calibri" w:hAnsi="Calibri" w:cs="Calibri"/>
                <w:b/>
                <w:bCs/>
                <w:sz w:val="20"/>
                <w:szCs w:val="20"/>
              </w:rPr>
              <w:t>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87296" w:rsidRPr="00887296" w:rsidRDefault="00596BBD" w:rsidP="008872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 de Viviendas H</w:t>
            </w:r>
            <w:r w:rsidR="00887296" w:rsidRPr="00887296">
              <w:rPr>
                <w:rFonts w:ascii="Calibri" w:hAnsi="Calibri" w:cs="Calibri"/>
                <w:b/>
                <w:bCs/>
                <w:sz w:val="20"/>
                <w:szCs w:val="20"/>
              </w:rPr>
              <w:t>abitadas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EL TUITO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3,294.00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853.00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LAS ÁNIMAS DE QUIMIXTO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46.00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17.00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CHACALA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305.00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92.00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CHIMO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199.00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53.00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IPALA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230.00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59.00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IXTLAHUAHUEY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287.00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80.00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LAS JUNTAS Y LOS VERANOS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582.00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146.00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LLANO GRANDE DE IPALA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189.00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49.00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PAULO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141.00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42.00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QUIMIXTO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370.00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88.00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EL REFUGIO SUCHITLÁN (LA CONGREGACIÓN)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179.00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50.00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SANTA CRUZ DEL TUITO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55.00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15.00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YELAPA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727.00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218.00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PEDRO MORENO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71.00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15.00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EL COLUMPIO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134.00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38.00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JOSÉ MARÍA MORELOS (AGUA ZARCA)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24.00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5.00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AQUILES SERDÁN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125.00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28.00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VILLA DEL MAR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207.00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45.00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TEHUAMIXTLE (TEHUALMIXTLE)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100.00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27.00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AGUA CALIENTE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44.00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11.00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PROVINCIA (LOS HÚMEDOS)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25.00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7.00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AGUA CALIENTE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11.00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4.00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EL ALGODÓN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46.00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10.00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MASCOTITA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113.00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29.00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MAITO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125.00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31.00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EMILIANO ZAPATA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43.00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17.00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LAS BRISAS (LA HACIENDA VIL)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32.00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10.00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LAS GUÁSIMAS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42.00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11.00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LLANO DE LOS LAURELES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526.00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122.00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LLANO DE LAS PANOCHAS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61.00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13.00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LA CIÉNEGA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5.00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3.00 </w:t>
            </w:r>
          </w:p>
        </w:tc>
      </w:tr>
      <w:tr w:rsidR="00887296" w:rsidRPr="00887296" w:rsidTr="0088729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8872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8,338.00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96" w:rsidRPr="00887296" w:rsidRDefault="00887296" w:rsidP="00CF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2,188.00 </w:t>
            </w:r>
          </w:p>
        </w:tc>
      </w:tr>
    </w:tbl>
    <w:p w:rsidR="00887296" w:rsidRDefault="00887296" w:rsidP="007F6E6B">
      <w:pPr>
        <w:autoSpaceDE w:val="0"/>
        <w:autoSpaceDN w:val="0"/>
        <w:adjustRightInd w:val="0"/>
        <w:jc w:val="both"/>
        <w:rPr>
          <w:rFonts w:ascii="Verdana-Bold" w:hAnsi="Verdana-Bold" w:cs="Verdana-Bold"/>
          <w:bCs/>
          <w:lang w:eastAsia="en-US"/>
        </w:rPr>
      </w:pPr>
    </w:p>
    <w:p w:rsidR="00324AD6" w:rsidRPr="005B0714" w:rsidRDefault="00324AD6" w:rsidP="00324AD6">
      <w:pPr>
        <w:autoSpaceDE w:val="0"/>
        <w:autoSpaceDN w:val="0"/>
        <w:adjustRightInd w:val="0"/>
        <w:jc w:val="both"/>
        <w:rPr>
          <w:rFonts w:ascii="Verdana-Bold" w:hAnsi="Verdana-Bold" w:cs="Verdana-Bold"/>
          <w:bCs/>
          <w:lang w:eastAsia="en-US"/>
        </w:rPr>
      </w:pPr>
    </w:p>
    <w:p w:rsidR="007C34F7" w:rsidRPr="0089304A" w:rsidRDefault="007F6E6B" w:rsidP="007F6E6B">
      <w:pPr>
        <w:jc w:val="center"/>
        <w:rPr>
          <w:b/>
        </w:rPr>
      </w:pPr>
      <w:r w:rsidRPr="0089304A">
        <w:rPr>
          <w:b/>
        </w:rPr>
        <w:t>JUSTIFICACIÓN</w:t>
      </w:r>
    </w:p>
    <w:p w:rsidR="007C34F7" w:rsidRDefault="007C34F7" w:rsidP="00200D08">
      <w:pPr>
        <w:jc w:val="both"/>
      </w:pPr>
    </w:p>
    <w:p w:rsidR="006E7F91" w:rsidRPr="00580A28" w:rsidRDefault="00354911" w:rsidP="006E7F91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="Calibri" w:cs="Arial"/>
        </w:rPr>
      </w:pPr>
      <w:r>
        <w:tab/>
      </w:r>
      <w:r w:rsidR="006E7F91" w:rsidRPr="00580A28">
        <w:rPr>
          <w:rFonts w:eastAsia="Calibri" w:cs="Arial"/>
        </w:rPr>
        <w:t>Asimismo tomando en consideración la diversidad geográfica, política, social, económic</w:t>
      </w:r>
      <w:r w:rsidR="006E7F91">
        <w:rPr>
          <w:rFonts w:eastAsia="Calibri" w:cs="Arial"/>
        </w:rPr>
        <w:t>a y cultural de nuestro Municipio</w:t>
      </w:r>
      <w:r w:rsidR="006E7F91" w:rsidRPr="00580A28">
        <w:rPr>
          <w:rFonts w:eastAsia="Calibri" w:cs="Arial"/>
        </w:rPr>
        <w:t xml:space="preserve">, es </w:t>
      </w:r>
      <w:r w:rsidR="006E44CD">
        <w:rPr>
          <w:rFonts w:eastAsia="Calibri" w:cs="Arial"/>
        </w:rPr>
        <w:t>necesario</w:t>
      </w:r>
      <w:r w:rsidR="006E7F91" w:rsidRPr="00580A28">
        <w:rPr>
          <w:rFonts w:eastAsia="Calibri" w:cs="Arial"/>
        </w:rPr>
        <w:t xml:space="preserve"> contar con e</w:t>
      </w:r>
      <w:r w:rsidR="006E7F91">
        <w:rPr>
          <w:rFonts w:eastAsia="Calibri" w:cs="Arial"/>
        </w:rPr>
        <w:t xml:space="preserve">l presente </w:t>
      </w:r>
      <w:r w:rsidR="006E44CD">
        <w:rPr>
          <w:rFonts w:eastAsia="Calibri" w:cs="Arial"/>
        </w:rPr>
        <w:t>plan de trabajo</w:t>
      </w:r>
      <w:r w:rsidR="006E7F91" w:rsidRPr="00580A28">
        <w:rPr>
          <w:rFonts w:eastAsia="Calibri" w:cs="Arial"/>
        </w:rPr>
        <w:t>, ya que el contexto del mismo es congruente con las condiciones propias del Municipio</w:t>
      </w:r>
      <w:r w:rsidR="006E44CD">
        <w:rPr>
          <w:rFonts w:eastAsia="Calibri" w:cs="Arial"/>
        </w:rPr>
        <w:t xml:space="preserve"> de Cabo Corrientes</w:t>
      </w:r>
      <w:r w:rsidR="006E7F91" w:rsidRPr="00580A28">
        <w:rPr>
          <w:rFonts w:eastAsia="Calibri" w:cs="Arial"/>
        </w:rPr>
        <w:t>.</w:t>
      </w:r>
      <w:r w:rsidR="006E44CD">
        <w:rPr>
          <w:rFonts w:eastAsia="Calibri" w:cs="Arial"/>
        </w:rPr>
        <w:t xml:space="preserve"> Este Plan </w:t>
      </w:r>
      <w:r w:rsidR="006E7F91" w:rsidRPr="00580A28">
        <w:rPr>
          <w:rFonts w:eastAsia="Calibri" w:cs="Arial"/>
        </w:rPr>
        <w:t xml:space="preserve">se ha elaborado en base a lo </w:t>
      </w:r>
      <w:r w:rsidR="006E44CD">
        <w:rPr>
          <w:rFonts w:eastAsia="Calibri" w:cs="Arial"/>
        </w:rPr>
        <w:t>establecido</w:t>
      </w:r>
      <w:r w:rsidR="006E7F91" w:rsidRPr="00580A28">
        <w:rPr>
          <w:rFonts w:eastAsia="Calibri" w:cs="Arial"/>
        </w:rPr>
        <w:t xml:space="preserve"> en la Ley </w:t>
      </w:r>
      <w:r w:rsidR="006E7F91">
        <w:rPr>
          <w:rFonts w:cs="Arial"/>
        </w:rPr>
        <w:t>p</w:t>
      </w:r>
      <w:r w:rsidR="006E7F91" w:rsidRPr="00336129">
        <w:rPr>
          <w:rFonts w:cs="Arial"/>
        </w:rPr>
        <w:t xml:space="preserve">ara La Regularización </w:t>
      </w:r>
      <w:r w:rsidR="006E7F91">
        <w:rPr>
          <w:rFonts w:cs="Arial"/>
        </w:rPr>
        <w:t>y T</w:t>
      </w:r>
      <w:r w:rsidR="007F6E6B">
        <w:rPr>
          <w:rFonts w:cs="Arial"/>
        </w:rPr>
        <w:t>itulación de Predios Urbanos del</w:t>
      </w:r>
      <w:r w:rsidR="006E7F91">
        <w:rPr>
          <w:rFonts w:cs="Arial"/>
        </w:rPr>
        <w:t xml:space="preserve"> Estado de Jalisco</w:t>
      </w:r>
      <w:r w:rsidR="00047B62">
        <w:rPr>
          <w:rFonts w:eastAsia="Calibri" w:cs="Arial"/>
        </w:rPr>
        <w:t xml:space="preserve"> </w:t>
      </w:r>
      <w:r w:rsidR="00F325AB">
        <w:rPr>
          <w:rFonts w:eastAsia="Calibri" w:cs="Arial"/>
        </w:rPr>
        <w:t xml:space="preserve">y El </w:t>
      </w:r>
      <w:r w:rsidR="00047B62">
        <w:rPr>
          <w:rFonts w:eastAsia="Calibri" w:cs="Arial"/>
        </w:rPr>
        <w:t>Reglamento de Regularización de Predios Urbanos en Cabo Corrientes</w:t>
      </w:r>
      <w:r w:rsidR="006E7F91" w:rsidRPr="00580A28">
        <w:rPr>
          <w:rFonts w:eastAsia="Calibri" w:cs="Arial"/>
        </w:rPr>
        <w:t xml:space="preserve"> con respecto a la precisión</w:t>
      </w:r>
      <w:r w:rsidR="006E7F91">
        <w:rPr>
          <w:rFonts w:eastAsia="Calibri" w:cs="Arial"/>
        </w:rPr>
        <w:t xml:space="preserve"> de procesos y requisitos</w:t>
      </w:r>
      <w:r w:rsidR="006E7F91" w:rsidRPr="00580A28">
        <w:rPr>
          <w:rFonts w:eastAsia="Calibri" w:cs="Arial"/>
        </w:rPr>
        <w:t>, apegado a los princi</w:t>
      </w:r>
      <w:r w:rsidR="00047B62">
        <w:rPr>
          <w:rFonts w:eastAsia="Calibri" w:cs="Arial"/>
        </w:rPr>
        <w:t xml:space="preserve">pios de legalidad con fundamento en La Constitución Política del Estado de Jalisco, Ley </w:t>
      </w:r>
      <w:r w:rsidR="007F6E6B">
        <w:rPr>
          <w:rFonts w:eastAsia="Calibri" w:cs="Arial"/>
        </w:rPr>
        <w:t xml:space="preserve">general </w:t>
      </w:r>
      <w:r w:rsidR="00047B62">
        <w:rPr>
          <w:rFonts w:eastAsia="Calibri" w:cs="Arial"/>
        </w:rPr>
        <w:t>de Asentamientos Humanos del Estado, Código Urbano del Estado, Ley Agraria Federal, Ley de Hacienda y Ley de Ingresos Vigente en este Municipio</w:t>
      </w:r>
      <w:r w:rsidR="006E7F91" w:rsidRPr="00580A28">
        <w:rPr>
          <w:rFonts w:eastAsia="Calibri" w:cs="Arial"/>
        </w:rPr>
        <w:t>.</w:t>
      </w:r>
    </w:p>
    <w:p w:rsidR="00862490" w:rsidRDefault="00862490" w:rsidP="006E7F91">
      <w:pPr>
        <w:jc w:val="both"/>
      </w:pPr>
    </w:p>
    <w:p w:rsidR="00485E18" w:rsidRDefault="007F6E6B" w:rsidP="00200D08">
      <w:pPr>
        <w:jc w:val="both"/>
        <w:rPr>
          <w:b/>
        </w:rPr>
      </w:pPr>
      <w:r>
        <w:rPr>
          <w:b/>
        </w:rPr>
        <w:t xml:space="preserve"> </w:t>
      </w:r>
    </w:p>
    <w:p w:rsidR="00862490" w:rsidRPr="007F6E6B" w:rsidRDefault="007F6E6B" w:rsidP="007F6E6B">
      <w:pPr>
        <w:jc w:val="center"/>
        <w:rPr>
          <w:b/>
          <w:sz w:val="20"/>
        </w:rPr>
      </w:pPr>
      <w:r w:rsidRPr="007F6E6B">
        <w:rPr>
          <w:b/>
          <w:sz w:val="20"/>
        </w:rPr>
        <w:t>OBJETIVO</w:t>
      </w:r>
    </w:p>
    <w:p w:rsidR="00862490" w:rsidRPr="007F6E6B" w:rsidRDefault="00862490" w:rsidP="007F6E6B">
      <w:pPr>
        <w:jc w:val="center"/>
        <w:rPr>
          <w:sz w:val="20"/>
        </w:rPr>
      </w:pPr>
    </w:p>
    <w:p w:rsidR="00047B62" w:rsidRPr="00580A28" w:rsidRDefault="00354911" w:rsidP="00047B62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eastAsia="Calibri" w:cs="Arial"/>
        </w:rPr>
      </w:pPr>
      <w:r>
        <w:tab/>
      </w:r>
      <w:r w:rsidR="00047B62">
        <w:rPr>
          <w:rFonts w:eastAsia="Calibri" w:cs="Arial"/>
        </w:rPr>
        <w:t>El</w:t>
      </w:r>
      <w:r w:rsidR="00047B62" w:rsidRPr="00580A28">
        <w:rPr>
          <w:rFonts w:eastAsia="Calibri" w:cs="Arial"/>
        </w:rPr>
        <w:t xml:space="preserve"> presente </w:t>
      </w:r>
      <w:r w:rsidR="00047B62">
        <w:rPr>
          <w:rFonts w:eastAsia="Calibri" w:cs="Arial"/>
        </w:rPr>
        <w:t>Plan de Trabajo</w:t>
      </w:r>
      <w:r w:rsidR="00047B62" w:rsidRPr="00580A28">
        <w:rPr>
          <w:rFonts w:eastAsia="Calibri" w:cs="Arial"/>
        </w:rPr>
        <w:t xml:space="preserve"> tiene como finalidad</w:t>
      </w:r>
      <w:r w:rsidR="007F6E6B">
        <w:rPr>
          <w:rFonts w:eastAsia="Calibri" w:cs="Arial"/>
        </w:rPr>
        <w:t xml:space="preserve"> dar certeza jurídica a</w:t>
      </w:r>
      <w:r w:rsidR="00047B62">
        <w:rPr>
          <w:rFonts w:eastAsia="Calibri" w:cs="Arial"/>
        </w:rPr>
        <w:t xml:space="preserve"> los bienes particulares y municipales</w:t>
      </w:r>
      <w:r w:rsidR="00047B62" w:rsidRPr="00580A28">
        <w:rPr>
          <w:rFonts w:eastAsia="Calibri" w:cs="Arial"/>
        </w:rPr>
        <w:t>,</w:t>
      </w:r>
      <w:r w:rsidR="00047B62">
        <w:rPr>
          <w:rFonts w:eastAsia="Calibri" w:cs="Arial"/>
        </w:rPr>
        <w:t xml:space="preserve"> generar las</w:t>
      </w:r>
      <w:r w:rsidR="00047B62" w:rsidRPr="00580A28">
        <w:rPr>
          <w:rFonts w:eastAsia="Calibri" w:cs="Arial"/>
        </w:rPr>
        <w:t xml:space="preserve"> condiciones de atender las necesidades y exigencias de los gobernados, logrando así el desarrollo social y económico de la población en g</w:t>
      </w:r>
      <w:r w:rsidR="007F6E6B">
        <w:rPr>
          <w:rFonts w:eastAsia="Calibri" w:cs="Arial"/>
        </w:rPr>
        <w:t>eneral; otorgándoles certeza jurídica</w:t>
      </w:r>
      <w:r w:rsidR="00047B62" w:rsidRPr="00580A28">
        <w:rPr>
          <w:rFonts w:eastAsia="Calibri" w:cs="Arial"/>
        </w:rPr>
        <w:t xml:space="preserve"> al momento de</w:t>
      </w:r>
      <w:r w:rsidR="00047B62">
        <w:rPr>
          <w:rFonts w:eastAsia="Calibri" w:cs="Arial"/>
        </w:rPr>
        <w:t xml:space="preserve"> otorgarles un título de propiedad</w:t>
      </w:r>
      <w:r w:rsidR="00047B62" w:rsidRPr="00580A28">
        <w:rPr>
          <w:rFonts w:eastAsia="Calibri" w:cs="Arial"/>
        </w:rPr>
        <w:t>.</w:t>
      </w:r>
    </w:p>
    <w:p w:rsidR="00CB43FE" w:rsidRDefault="00CB43FE" w:rsidP="00047B62">
      <w:pPr>
        <w:jc w:val="both"/>
        <w:rPr>
          <w:b/>
        </w:rPr>
      </w:pPr>
    </w:p>
    <w:p w:rsidR="00CB43FE" w:rsidRDefault="00CB43FE" w:rsidP="00200D08">
      <w:pPr>
        <w:jc w:val="both"/>
        <w:rPr>
          <w:b/>
        </w:rPr>
      </w:pPr>
    </w:p>
    <w:p w:rsidR="00D66B77" w:rsidRDefault="00D66B77" w:rsidP="007F6E6B">
      <w:pPr>
        <w:jc w:val="center"/>
        <w:rPr>
          <w:b/>
        </w:rPr>
      </w:pPr>
    </w:p>
    <w:p w:rsidR="00D66B77" w:rsidRDefault="00D66B77" w:rsidP="007F6E6B">
      <w:pPr>
        <w:jc w:val="center"/>
        <w:rPr>
          <w:b/>
        </w:rPr>
      </w:pPr>
    </w:p>
    <w:p w:rsidR="00D66B77" w:rsidRDefault="00D66B77" w:rsidP="007F6E6B">
      <w:pPr>
        <w:jc w:val="center"/>
        <w:rPr>
          <w:b/>
        </w:rPr>
      </w:pPr>
    </w:p>
    <w:p w:rsidR="00D66B77" w:rsidRDefault="00D66B77" w:rsidP="007F6E6B">
      <w:pPr>
        <w:jc w:val="center"/>
        <w:rPr>
          <w:b/>
        </w:rPr>
      </w:pPr>
    </w:p>
    <w:p w:rsidR="00D66B77" w:rsidRDefault="00D66B77" w:rsidP="007F6E6B">
      <w:pPr>
        <w:jc w:val="center"/>
        <w:rPr>
          <w:b/>
        </w:rPr>
      </w:pPr>
    </w:p>
    <w:p w:rsidR="00D66B77" w:rsidRDefault="00D66B77" w:rsidP="007F6E6B">
      <w:pPr>
        <w:jc w:val="center"/>
        <w:rPr>
          <w:b/>
        </w:rPr>
      </w:pPr>
    </w:p>
    <w:p w:rsidR="00D66B77" w:rsidRDefault="00D66B77" w:rsidP="007F6E6B">
      <w:pPr>
        <w:jc w:val="center"/>
        <w:rPr>
          <w:b/>
        </w:rPr>
      </w:pPr>
    </w:p>
    <w:p w:rsidR="001563CF" w:rsidRDefault="007F6E6B" w:rsidP="007F6E6B">
      <w:pPr>
        <w:jc w:val="center"/>
      </w:pPr>
      <w:r w:rsidRPr="0089304A">
        <w:rPr>
          <w:b/>
        </w:rPr>
        <w:t>METAS</w:t>
      </w:r>
    </w:p>
    <w:p w:rsidR="00354911" w:rsidRDefault="00354911" w:rsidP="00F325AB">
      <w:pPr>
        <w:jc w:val="both"/>
        <w:rPr>
          <w:rFonts w:eastAsia="Calibri" w:cs="Arial"/>
        </w:rPr>
      </w:pPr>
      <w:r>
        <w:tab/>
      </w:r>
      <w:r w:rsidR="00F325AB">
        <w:t xml:space="preserve">Las acciones concretas a realizar dentro del presente Plan corresponden a las establecidas en La </w:t>
      </w:r>
      <w:r w:rsidR="00F325AB" w:rsidRPr="00580A28">
        <w:rPr>
          <w:rFonts w:eastAsia="Calibri" w:cs="Arial"/>
        </w:rPr>
        <w:t xml:space="preserve">Ley </w:t>
      </w:r>
      <w:r w:rsidR="00F325AB">
        <w:rPr>
          <w:rFonts w:cs="Arial"/>
        </w:rPr>
        <w:t>p</w:t>
      </w:r>
      <w:r w:rsidR="00F325AB" w:rsidRPr="00336129">
        <w:rPr>
          <w:rFonts w:cs="Arial"/>
        </w:rPr>
        <w:t xml:space="preserve">ara La Regularización </w:t>
      </w:r>
      <w:r w:rsidR="00F325AB">
        <w:rPr>
          <w:rFonts w:cs="Arial"/>
        </w:rPr>
        <w:t>y Titulación de Predios Urbanos en el Estado de Jalisco</w:t>
      </w:r>
      <w:r w:rsidR="00F325AB">
        <w:rPr>
          <w:rFonts w:eastAsia="Calibri" w:cs="Arial"/>
        </w:rPr>
        <w:t xml:space="preserve"> y El Reglamento de Regularización de Predios Urbanos en Cabo Corrientes las cuales son las siguientes:</w:t>
      </w:r>
    </w:p>
    <w:p w:rsidR="00F325AB" w:rsidRDefault="00F325AB" w:rsidP="00F325AB">
      <w:pPr>
        <w:jc w:val="both"/>
        <w:rPr>
          <w:rFonts w:cs="Arial"/>
        </w:rPr>
      </w:pPr>
    </w:p>
    <w:p w:rsidR="000A5FD0" w:rsidRPr="000A5FD0" w:rsidRDefault="00F325AB" w:rsidP="000A5FD0">
      <w:pPr>
        <w:numPr>
          <w:ilvl w:val="0"/>
          <w:numId w:val="2"/>
        </w:numPr>
        <w:jc w:val="both"/>
        <w:rPr>
          <w:rFonts w:cs="Arial"/>
        </w:rPr>
      </w:pPr>
      <w:r w:rsidRPr="009F3E93">
        <w:rPr>
          <w:rFonts w:cs="Arial"/>
        </w:rPr>
        <w:t>Integrar la Comisión;</w:t>
      </w:r>
    </w:p>
    <w:p w:rsidR="000A5FD0" w:rsidRPr="009F3E93" w:rsidRDefault="00392954" w:rsidP="006240B0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Revisar y</w:t>
      </w:r>
      <w:r w:rsidR="000A5FD0">
        <w:rPr>
          <w:rFonts w:cs="Arial"/>
        </w:rPr>
        <w:t xml:space="preserve"> </w:t>
      </w:r>
      <w:r>
        <w:rPr>
          <w:rFonts w:cs="Arial"/>
        </w:rPr>
        <w:t xml:space="preserve">actualizar </w:t>
      </w:r>
      <w:r w:rsidR="000A5FD0">
        <w:rPr>
          <w:rFonts w:cs="Arial"/>
        </w:rPr>
        <w:t>el Reglamento</w:t>
      </w:r>
      <w:r>
        <w:rPr>
          <w:rFonts w:cs="Arial"/>
        </w:rPr>
        <w:t xml:space="preserve"> municipal</w:t>
      </w:r>
      <w:r w:rsidR="000A5FD0">
        <w:rPr>
          <w:rFonts w:cs="Arial"/>
        </w:rPr>
        <w:t xml:space="preserve"> de </w:t>
      </w:r>
      <w:r w:rsidR="000A5FD0" w:rsidRPr="00336129">
        <w:rPr>
          <w:rFonts w:cs="Arial"/>
        </w:rPr>
        <w:t xml:space="preserve">La Regularización </w:t>
      </w:r>
      <w:r w:rsidR="000A5FD0">
        <w:rPr>
          <w:rFonts w:cs="Arial"/>
        </w:rPr>
        <w:t>y Titulación de Predios Urbanos</w:t>
      </w:r>
    </w:p>
    <w:p w:rsidR="00F325AB" w:rsidRPr="009F3E93" w:rsidRDefault="00F325AB" w:rsidP="006240B0">
      <w:pPr>
        <w:numPr>
          <w:ilvl w:val="0"/>
          <w:numId w:val="2"/>
        </w:numPr>
        <w:jc w:val="both"/>
        <w:rPr>
          <w:rFonts w:cs="Arial"/>
        </w:rPr>
      </w:pPr>
      <w:r w:rsidRPr="009F3E93">
        <w:rPr>
          <w:rFonts w:cs="Arial"/>
        </w:rPr>
        <w:t>Clasificar y delimitar en sus planes y programas de desarrollo urbano las áreas de beneficio o afectación</w:t>
      </w:r>
      <w:r>
        <w:rPr>
          <w:rFonts w:cs="Arial"/>
        </w:rPr>
        <w:t xml:space="preserve"> como </w:t>
      </w:r>
      <w:r w:rsidR="006240B0">
        <w:rPr>
          <w:rFonts w:cs="Arial"/>
        </w:rPr>
        <w:t>José</w:t>
      </w:r>
      <w:r>
        <w:rPr>
          <w:rFonts w:cs="Arial"/>
        </w:rPr>
        <w:t xml:space="preserve"> </w:t>
      </w:r>
      <w:r w:rsidR="006240B0">
        <w:rPr>
          <w:rFonts w:cs="Arial"/>
        </w:rPr>
        <w:t>María</w:t>
      </w:r>
      <w:r>
        <w:rPr>
          <w:rFonts w:cs="Arial"/>
        </w:rPr>
        <w:t xml:space="preserve"> Morelos y Puntilla de Mayto</w:t>
      </w:r>
      <w:r w:rsidRPr="009F3E93">
        <w:rPr>
          <w:rFonts w:cs="Arial"/>
        </w:rPr>
        <w:t>,</w:t>
      </w:r>
      <w:r w:rsidR="006240B0">
        <w:rPr>
          <w:rFonts w:cs="Arial"/>
        </w:rPr>
        <w:t xml:space="preserve"> Pedro Moreno</w:t>
      </w:r>
      <w:r w:rsidR="00D8573B">
        <w:rPr>
          <w:rFonts w:cs="Arial"/>
        </w:rPr>
        <w:t>, El columpio</w:t>
      </w:r>
      <w:r w:rsidR="0063710C">
        <w:rPr>
          <w:rFonts w:cs="Arial"/>
        </w:rPr>
        <w:t>, la hermosa</w:t>
      </w:r>
      <w:r w:rsidR="006240B0">
        <w:rPr>
          <w:rFonts w:cs="Arial"/>
        </w:rPr>
        <w:t xml:space="preserve"> y El Tuito</w:t>
      </w:r>
      <w:r w:rsidRPr="009F3E93">
        <w:rPr>
          <w:rFonts w:cs="Arial"/>
        </w:rPr>
        <w:t xml:space="preserve"> con el objeto de determinar la utilidad pública de las acciones de regularización;</w:t>
      </w:r>
    </w:p>
    <w:p w:rsidR="006240B0" w:rsidRDefault="006240B0" w:rsidP="00200D08">
      <w:pPr>
        <w:jc w:val="both"/>
        <w:rPr>
          <w:b/>
        </w:rPr>
      </w:pPr>
    </w:p>
    <w:p w:rsidR="006240B0" w:rsidRPr="009F3E93" w:rsidRDefault="006240B0" w:rsidP="006240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9F3E93">
        <w:rPr>
          <w:rFonts w:ascii="Arial" w:hAnsi="Arial" w:cs="Arial"/>
          <w:sz w:val="24"/>
          <w:szCs w:val="24"/>
          <w:lang w:val="es-MX"/>
        </w:rPr>
        <w:t xml:space="preserve">Convocar y presidir las reuniones de la Comisión Municipal de Regularización; </w:t>
      </w:r>
    </w:p>
    <w:p w:rsidR="006240B0" w:rsidRDefault="006240B0" w:rsidP="006240B0">
      <w:pPr>
        <w:numPr>
          <w:ilvl w:val="0"/>
          <w:numId w:val="2"/>
        </w:numPr>
        <w:jc w:val="both"/>
        <w:rPr>
          <w:b/>
        </w:rPr>
      </w:pPr>
      <w:r w:rsidRPr="009F3E93">
        <w:rPr>
          <w:rFonts w:cs="Arial"/>
        </w:rPr>
        <w:t>Suscribir las resoluciones administrativas que substancian el procedimiento de regularización</w:t>
      </w:r>
      <w:r w:rsidRPr="0089304A">
        <w:rPr>
          <w:b/>
        </w:rPr>
        <w:t xml:space="preserve"> </w:t>
      </w:r>
    </w:p>
    <w:p w:rsidR="006240B0" w:rsidRDefault="006240B0" w:rsidP="00D8573B">
      <w:pPr>
        <w:rPr>
          <w:b/>
        </w:rPr>
      </w:pPr>
    </w:p>
    <w:p w:rsidR="00354911" w:rsidRPr="0089304A" w:rsidRDefault="00D8573B" w:rsidP="00D8573B">
      <w:pPr>
        <w:jc w:val="center"/>
        <w:rPr>
          <w:b/>
        </w:rPr>
      </w:pPr>
      <w:r w:rsidRPr="0089304A">
        <w:rPr>
          <w:b/>
        </w:rPr>
        <w:t>DURACIÓN</w:t>
      </w:r>
    </w:p>
    <w:p w:rsidR="00354911" w:rsidRPr="0089304A" w:rsidRDefault="00354911" w:rsidP="00200D08">
      <w:pPr>
        <w:jc w:val="both"/>
        <w:rPr>
          <w:b/>
        </w:rPr>
      </w:pPr>
    </w:p>
    <w:p w:rsidR="006240B0" w:rsidRDefault="009E3C14" w:rsidP="00200D08">
      <w:pPr>
        <w:jc w:val="both"/>
      </w:pPr>
      <w:r>
        <w:tab/>
      </w:r>
      <w:r w:rsidR="006240B0">
        <w:t xml:space="preserve">Estos trabajos deberán de estar concluidos a </w:t>
      </w:r>
      <w:r w:rsidR="000A5FD0">
        <w:t>más</w:t>
      </w:r>
      <w:r w:rsidR="006240B0">
        <w:t xml:space="preserve"> tardar el 18 de diciembre del año en curso.</w:t>
      </w:r>
    </w:p>
    <w:p w:rsidR="00AB1144" w:rsidRDefault="006240B0" w:rsidP="00200D08">
      <w:pPr>
        <w:jc w:val="both"/>
        <w:rPr>
          <w:b/>
        </w:rPr>
      </w:pPr>
      <w:r>
        <w:t xml:space="preserve"> </w:t>
      </w:r>
    </w:p>
    <w:p w:rsidR="006D3ABE" w:rsidRDefault="006D3ABE" w:rsidP="00D8573B">
      <w:pPr>
        <w:jc w:val="center"/>
        <w:rPr>
          <w:b/>
        </w:rPr>
      </w:pPr>
    </w:p>
    <w:p w:rsidR="00940FF4" w:rsidRDefault="00940FF4" w:rsidP="00200D08">
      <w:pPr>
        <w:jc w:val="both"/>
      </w:pPr>
    </w:p>
    <w:p w:rsidR="00BD596E" w:rsidRDefault="00BD596E" w:rsidP="008D2F04">
      <w:pPr>
        <w:jc w:val="center"/>
        <w:rPr>
          <w:b/>
        </w:rPr>
      </w:pPr>
    </w:p>
    <w:p w:rsidR="00BD596E" w:rsidRDefault="00BD596E" w:rsidP="008D2F04">
      <w:pPr>
        <w:jc w:val="center"/>
        <w:rPr>
          <w:b/>
        </w:rPr>
      </w:pPr>
    </w:p>
    <w:p w:rsidR="00BD596E" w:rsidRDefault="00BD596E" w:rsidP="008D2F04">
      <w:pPr>
        <w:jc w:val="center"/>
        <w:rPr>
          <w:b/>
        </w:rPr>
      </w:pPr>
    </w:p>
    <w:p w:rsidR="00BD596E" w:rsidRDefault="00BD596E" w:rsidP="008D2F04">
      <w:pPr>
        <w:jc w:val="center"/>
        <w:rPr>
          <w:b/>
        </w:rPr>
      </w:pPr>
    </w:p>
    <w:p w:rsidR="00BD596E" w:rsidRDefault="00BD596E" w:rsidP="008D2F04">
      <w:pPr>
        <w:jc w:val="center"/>
        <w:rPr>
          <w:b/>
        </w:rPr>
      </w:pPr>
    </w:p>
    <w:p w:rsidR="00BD596E" w:rsidRDefault="00BD596E" w:rsidP="008D2F04">
      <w:pPr>
        <w:jc w:val="center"/>
        <w:rPr>
          <w:b/>
        </w:rPr>
      </w:pPr>
    </w:p>
    <w:p w:rsidR="00BD596E" w:rsidRDefault="00BD596E" w:rsidP="008D2F04">
      <w:pPr>
        <w:jc w:val="center"/>
        <w:rPr>
          <w:b/>
        </w:rPr>
      </w:pPr>
    </w:p>
    <w:p w:rsidR="00BD596E" w:rsidRDefault="00BD596E" w:rsidP="008D2F04">
      <w:pPr>
        <w:jc w:val="center"/>
        <w:rPr>
          <w:b/>
        </w:rPr>
      </w:pPr>
    </w:p>
    <w:p w:rsidR="00BD596E" w:rsidRDefault="00BD596E" w:rsidP="008D2F04">
      <w:pPr>
        <w:jc w:val="center"/>
        <w:rPr>
          <w:b/>
        </w:rPr>
      </w:pPr>
    </w:p>
    <w:p w:rsidR="00BD596E" w:rsidRDefault="00BD596E" w:rsidP="008D2F04">
      <w:pPr>
        <w:jc w:val="center"/>
        <w:rPr>
          <w:b/>
        </w:rPr>
      </w:pPr>
    </w:p>
    <w:p w:rsidR="00BD596E" w:rsidRDefault="00BD596E" w:rsidP="008D2F04">
      <w:pPr>
        <w:jc w:val="center"/>
        <w:rPr>
          <w:b/>
        </w:rPr>
      </w:pPr>
    </w:p>
    <w:p w:rsidR="00BD596E" w:rsidRDefault="00BD596E" w:rsidP="008D2F04">
      <w:pPr>
        <w:jc w:val="center"/>
        <w:rPr>
          <w:b/>
        </w:rPr>
      </w:pPr>
    </w:p>
    <w:p w:rsidR="00BD596E" w:rsidRDefault="00BD596E" w:rsidP="008D2F04">
      <w:pPr>
        <w:jc w:val="center"/>
        <w:rPr>
          <w:b/>
        </w:rPr>
      </w:pPr>
    </w:p>
    <w:p w:rsidR="00BD596E" w:rsidRDefault="00BD596E" w:rsidP="008D2F04">
      <w:pPr>
        <w:jc w:val="center"/>
        <w:rPr>
          <w:b/>
        </w:rPr>
      </w:pPr>
    </w:p>
    <w:p w:rsidR="00BD596E" w:rsidRDefault="00BD596E" w:rsidP="008D2F04">
      <w:pPr>
        <w:jc w:val="center"/>
        <w:rPr>
          <w:b/>
        </w:rPr>
      </w:pPr>
    </w:p>
    <w:p w:rsidR="00BD596E" w:rsidRDefault="00BD596E" w:rsidP="008D2F04">
      <w:pPr>
        <w:jc w:val="center"/>
        <w:rPr>
          <w:b/>
        </w:rPr>
      </w:pPr>
    </w:p>
    <w:p w:rsidR="00CF6027" w:rsidRDefault="008D2F04" w:rsidP="00BD596E">
      <w:pPr>
        <w:rPr>
          <w:b/>
        </w:rPr>
      </w:pPr>
      <w:r w:rsidRPr="0089304A">
        <w:rPr>
          <w:b/>
        </w:rPr>
        <w:lastRenderedPageBreak/>
        <w:t>ESTIMACIÓN FINANCIERA ANUAL.</w:t>
      </w:r>
    </w:p>
    <w:p w:rsidR="00CF6027" w:rsidRDefault="00CF6027" w:rsidP="00200D08">
      <w:pPr>
        <w:jc w:val="both"/>
        <w:rPr>
          <w:b/>
        </w:rPr>
      </w:pPr>
    </w:p>
    <w:p w:rsidR="00940FF4" w:rsidRPr="0089304A" w:rsidRDefault="00940FF4" w:rsidP="00200D08">
      <w:pPr>
        <w:jc w:val="both"/>
        <w:rPr>
          <w:b/>
        </w:rPr>
      </w:pPr>
    </w:p>
    <w:tbl>
      <w:tblPr>
        <w:tblW w:w="8526" w:type="dxa"/>
        <w:tblInd w:w="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2741"/>
        <w:gridCol w:w="1845"/>
      </w:tblGrid>
      <w:tr w:rsidR="00940FF4" w:rsidRPr="00A66AF5" w:rsidTr="00F05E82">
        <w:trPr>
          <w:trHeight w:val="33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FF4" w:rsidRPr="00A66AF5" w:rsidRDefault="00940FF4" w:rsidP="005A1AAB">
            <w:pPr>
              <w:jc w:val="center"/>
              <w:rPr>
                <w:rFonts w:cs="Arial"/>
                <w:b/>
                <w:bCs/>
              </w:rPr>
            </w:pPr>
            <w:r w:rsidRPr="00A66AF5">
              <w:rPr>
                <w:rFonts w:cs="Arial"/>
                <w:b/>
                <w:bCs/>
              </w:rPr>
              <w:t>CONCEPTO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FF4" w:rsidRPr="00A66AF5" w:rsidRDefault="00940FF4" w:rsidP="005A1AAB">
            <w:pPr>
              <w:jc w:val="center"/>
              <w:rPr>
                <w:rFonts w:cs="Arial"/>
                <w:b/>
                <w:bCs/>
              </w:rPr>
            </w:pPr>
            <w:r w:rsidRPr="00A66AF5">
              <w:rPr>
                <w:rFonts w:cs="Arial"/>
                <w:b/>
                <w:bCs/>
              </w:rPr>
              <w:t>RESPONSABLES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FF4" w:rsidRPr="00A66AF5" w:rsidRDefault="00940FF4" w:rsidP="005A1AAB">
            <w:pPr>
              <w:jc w:val="center"/>
              <w:rPr>
                <w:rFonts w:cs="Arial"/>
                <w:b/>
                <w:bCs/>
              </w:rPr>
            </w:pPr>
            <w:r w:rsidRPr="00A66AF5">
              <w:rPr>
                <w:rFonts w:cs="Arial"/>
                <w:b/>
                <w:bCs/>
              </w:rPr>
              <w:t>MONTO</w:t>
            </w:r>
          </w:p>
        </w:tc>
      </w:tr>
      <w:tr w:rsidR="00940FF4" w:rsidRPr="00A66AF5" w:rsidTr="00F05E82">
        <w:trPr>
          <w:trHeight w:val="34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FF4" w:rsidRPr="00A66AF5" w:rsidRDefault="000A5FD0" w:rsidP="005A1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PROGRAMA DE REGULARIZACION DE PREDIOS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FF4" w:rsidRPr="00A66AF5" w:rsidRDefault="000A5FD0" w:rsidP="005A1AA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COMISION MUNICIPAL DE REGULARIZACION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FF4" w:rsidRPr="00A66AF5" w:rsidRDefault="00940FF4" w:rsidP="00A135F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6D3ABE">
              <w:rPr>
                <w:rFonts w:cs="Arial"/>
                <w:sz w:val="20"/>
                <w:szCs w:val="20"/>
              </w:rPr>
              <w:t>98</w:t>
            </w:r>
            <w:r w:rsidR="00D41B0D">
              <w:rPr>
                <w:rFonts w:cs="Arial"/>
                <w:sz w:val="20"/>
                <w:szCs w:val="20"/>
              </w:rPr>
              <w:t>,000.0</w:t>
            </w:r>
            <w:r w:rsidR="0041286F">
              <w:rPr>
                <w:rFonts w:cs="Arial"/>
                <w:sz w:val="20"/>
                <w:szCs w:val="20"/>
              </w:rPr>
              <w:t>0</w:t>
            </w:r>
          </w:p>
        </w:tc>
      </w:tr>
      <w:tr w:rsidR="00940FF4" w:rsidRPr="00A66AF5" w:rsidTr="00F05E82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FF4" w:rsidRPr="00A66AF5" w:rsidRDefault="00940FF4" w:rsidP="005A1AAB">
            <w:pPr>
              <w:jc w:val="center"/>
              <w:rPr>
                <w:rFonts w:cs="Arial"/>
                <w:sz w:val="20"/>
                <w:szCs w:val="20"/>
              </w:rPr>
            </w:pPr>
            <w:r w:rsidRPr="00A66AF5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FF4" w:rsidRPr="00A66AF5" w:rsidRDefault="00940FF4" w:rsidP="005A1AAB">
            <w:pPr>
              <w:jc w:val="both"/>
              <w:rPr>
                <w:rFonts w:cs="Arial"/>
                <w:sz w:val="20"/>
                <w:szCs w:val="20"/>
              </w:rPr>
            </w:pPr>
            <w:r w:rsidRPr="00A66AF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FF4" w:rsidRPr="00A66AF5" w:rsidRDefault="00940FF4" w:rsidP="00D41B0D">
            <w:pPr>
              <w:jc w:val="right"/>
              <w:rPr>
                <w:rFonts w:cs="Arial"/>
                <w:sz w:val="20"/>
                <w:szCs w:val="20"/>
              </w:rPr>
            </w:pPr>
            <w:r w:rsidRPr="00A66AF5">
              <w:rPr>
                <w:rFonts w:cs="Arial"/>
                <w:sz w:val="20"/>
                <w:szCs w:val="20"/>
              </w:rPr>
              <w:t>$</w:t>
            </w:r>
            <w:r w:rsidR="006D3ABE">
              <w:rPr>
                <w:rFonts w:cs="Arial"/>
                <w:sz w:val="20"/>
                <w:szCs w:val="20"/>
              </w:rPr>
              <w:t xml:space="preserve"> 98</w:t>
            </w:r>
            <w:r w:rsidR="00D41B0D">
              <w:rPr>
                <w:rFonts w:cs="Arial"/>
                <w:sz w:val="20"/>
                <w:szCs w:val="20"/>
              </w:rPr>
              <w:t>,000</w:t>
            </w:r>
            <w:r w:rsidR="0041286F">
              <w:rPr>
                <w:rFonts w:cs="Arial"/>
                <w:sz w:val="20"/>
                <w:szCs w:val="20"/>
              </w:rPr>
              <w:t>.</w:t>
            </w:r>
            <w:r w:rsidR="00D41B0D">
              <w:rPr>
                <w:rFonts w:cs="Arial"/>
                <w:sz w:val="20"/>
                <w:szCs w:val="20"/>
              </w:rPr>
              <w:t>0</w:t>
            </w:r>
            <w:r w:rsidR="0041286F"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6278BA" w:rsidRDefault="006278BA" w:rsidP="00200D08">
      <w:pPr>
        <w:jc w:val="both"/>
        <w:rPr>
          <w:b/>
        </w:rPr>
      </w:pPr>
    </w:p>
    <w:p w:rsidR="00BA59D1" w:rsidRDefault="00BA59D1" w:rsidP="00BA59D1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Estimació</w:t>
      </w:r>
      <w:r w:rsidRPr="004410E4">
        <w:rPr>
          <w:rFonts w:cs="Arial"/>
          <w:b/>
          <w:sz w:val="22"/>
          <w:szCs w:val="22"/>
        </w:rPr>
        <w:t>n financiera por Prespuesto</w:t>
      </w:r>
    </w:p>
    <w:p w:rsidR="00BA59D1" w:rsidRDefault="00BA59D1" w:rsidP="00BA59D1">
      <w:pPr>
        <w:jc w:val="center"/>
        <w:rPr>
          <w:rFonts w:cs="Arial"/>
          <w:b/>
          <w:sz w:val="22"/>
          <w:szCs w:val="22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6372"/>
        <w:gridCol w:w="1288"/>
      </w:tblGrid>
      <w:tr w:rsidR="00BA59D1" w:rsidRPr="006A0A5D" w:rsidTr="008B6636">
        <w:trPr>
          <w:trHeight w:val="300"/>
        </w:trPr>
        <w:tc>
          <w:tcPr>
            <w:tcW w:w="860" w:type="dxa"/>
            <w:tcBorders>
              <w:top w:val="single" w:sz="4" w:space="0" w:color="DDEBF7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000000" w:fill="00A79D"/>
            <w:noWrap/>
            <w:vAlign w:val="center"/>
            <w:hideMark/>
          </w:tcPr>
          <w:p w:rsidR="00BA59D1" w:rsidRPr="006A0A5D" w:rsidRDefault="00BA59D1" w:rsidP="008B6636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6A0A5D">
              <w:rPr>
                <w:rFonts w:ascii="Calibri" w:hAnsi="Calibri"/>
                <w:b/>
                <w:bCs/>
                <w:color w:val="FFFFFF"/>
              </w:rPr>
              <w:t>1000</w:t>
            </w:r>
          </w:p>
        </w:tc>
        <w:tc>
          <w:tcPr>
            <w:tcW w:w="6460" w:type="dxa"/>
            <w:tcBorders>
              <w:top w:val="single" w:sz="4" w:space="0" w:color="DDEBF7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00A79D"/>
            <w:vAlign w:val="center"/>
            <w:hideMark/>
          </w:tcPr>
          <w:p w:rsidR="00BA59D1" w:rsidRPr="006A0A5D" w:rsidRDefault="00BA59D1" w:rsidP="008B6636">
            <w:pPr>
              <w:rPr>
                <w:rFonts w:ascii="Calibri" w:hAnsi="Calibri"/>
                <w:b/>
                <w:bCs/>
                <w:color w:val="FFFFFF"/>
              </w:rPr>
            </w:pPr>
            <w:r w:rsidRPr="006A0A5D">
              <w:rPr>
                <w:rFonts w:ascii="Calibri" w:hAnsi="Calibri"/>
                <w:b/>
                <w:bCs/>
                <w:color w:val="FFFFFF"/>
              </w:rPr>
              <w:t>SERVICIOS PERSONALES</w:t>
            </w:r>
          </w:p>
        </w:tc>
        <w:tc>
          <w:tcPr>
            <w:tcW w:w="1200" w:type="dxa"/>
            <w:tcBorders>
              <w:top w:val="single" w:sz="4" w:space="0" w:color="DDEBF7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00A79D"/>
            <w:noWrap/>
            <w:vAlign w:val="center"/>
            <w:hideMark/>
          </w:tcPr>
          <w:p w:rsidR="00BA59D1" w:rsidRPr="006A0A5D" w:rsidRDefault="00BA59D1" w:rsidP="008B6636">
            <w:pPr>
              <w:jc w:val="right"/>
              <w:rPr>
                <w:rFonts w:ascii="Calibri" w:hAnsi="Calibri"/>
                <w:b/>
                <w:bCs/>
                <w:color w:val="FFFFFF"/>
              </w:rPr>
            </w:pPr>
            <w:r w:rsidRPr="006A0A5D">
              <w:rPr>
                <w:rFonts w:ascii="Calibri" w:hAnsi="Calibri"/>
                <w:b/>
                <w:bCs/>
                <w:color w:val="FFFFFF"/>
              </w:rPr>
              <w:t xml:space="preserve">                     1 </w:t>
            </w:r>
          </w:p>
        </w:tc>
      </w:tr>
      <w:tr w:rsidR="00BA59D1" w:rsidRPr="006A0A5D" w:rsidTr="008B663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000000" w:fill="FFF2D4"/>
            <w:noWrap/>
            <w:vAlign w:val="center"/>
            <w:hideMark/>
          </w:tcPr>
          <w:p w:rsidR="00BA59D1" w:rsidRPr="006A0A5D" w:rsidRDefault="00BA59D1" w:rsidP="008B6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0A5D">
              <w:rPr>
                <w:rFonts w:ascii="Calibri" w:hAnsi="Calibri"/>
                <w:b/>
                <w:bCs/>
                <w:color w:val="00000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FFF2D4"/>
            <w:vAlign w:val="center"/>
            <w:hideMark/>
          </w:tcPr>
          <w:p w:rsidR="00BA59D1" w:rsidRPr="006A0A5D" w:rsidRDefault="00BA59D1" w:rsidP="008B6636">
            <w:pPr>
              <w:rPr>
                <w:rFonts w:ascii="Calibri" w:hAnsi="Calibri"/>
                <w:b/>
                <w:bCs/>
                <w:color w:val="000000"/>
              </w:rPr>
            </w:pPr>
            <w:r w:rsidRPr="006A0A5D">
              <w:rPr>
                <w:rFonts w:ascii="Calibri" w:hAnsi="Calibri"/>
                <w:b/>
                <w:bCs/>
                <w:color w:val="000000"/>
              </w:rPr>
              <w:t>REMUNERACIONES AL PERSONAL DE CARÁCTER PERMANENTE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FFF2D4"/>
            <w:noWrap/>
            <w:vAlign w:val="center"/>
            <w:hideMark/>
          </w:tcPr>
          <w:p w:rsidR="00BA59D1" w:rsidRPr="006A0A5D" w:rsidRDefault="00BA59D1" w:rsidP="008B663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A0A5D">
              <w:rPr>
                <w:rFonts w:ascii="Calibri" w:hAnsi="Calibri"/>
                <w:b/>
                <w:bCs/>
                <w:color w:val="000000"/>
              </w:rPr>
              <w:t xml:space="preserve">                     1 </w:t>
            </w:r>
          </w:p>
        </w:tc>
      </w:tr>
      <w:tr w:rsidR="00BA59D1" w:rsidRPr="006A0A5D" w:rsidTr="008B663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6A0A5D" w:rsidRDefault="00BA59D1" w:rsidP="008B6636">
            <w:pPr>
              <w:jc w:val="center"/>
              <w:rPr>
                <w:rFonts w:ascii="Calibri" w:hAnsi="Calibri"/>
                <w:color w:val="000000"/>
              </w:rPr>
            </w:pPr>
            <w:r w:rsidRPr="006A0A5D"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BA59D1" w:rsidRPr="006A0A5D" w:rsidRDefault="00BA59D1" w:rsidP="008B6636">
            <w:pPr>
              <w:rPr>
                <w:rFonts w:ascii="Calibri" w:hAnsi="Calibri"/>
                <w:color w:val="000000"/>
              </w:rPr>
            </w:pPr>
            <w:r w:rsidRPr="006A0A5D">
              <w:rPr>
                <w:rFonts w:ascii="Calibri" w:hAnsi="Calibri"/>
                <w:color w:val="000000"/>
              </w:rPr>
              <w:t>Sueldos base al personal permanente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6A0A5D" w:rsidRDefault="00542DB0" w:rsidP="008B66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143,791.75</w:t>
            </w:r>
            <w:r w:rsidR="00BA59D1" w:rsidRPr="006A0A5D">
              <w:rPr>
                <w:rFonts w:ascii="Calibri" w:hAnsi="Calibri"/>
                <w:color w:val="000000"/>
              </w:rPr>
              <w:t> </w:t>
            </w:r>
          </w:p>
        </w:tc>
      </w:tr>
      <w:tr w:rsidR="00BA59D1" w:rsidRPr="006A0A5D" w:rsidTr="008B663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000000" w:fill="FFF2D4"/>
            <w:noWrap/>
            <w:vAlign w:val="center"/>
            <w:hideMark/>
          </w:tcPr>
          <w:p w:rsidR="00BA59D1" w:rsidRPr="006A0A5D" w:rsidRDefault="00BA59D1" w:rsidP="008B6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0A5D">
              <w:rPr>
                <w:rFonts w:ascii="Calibri" w:hAnsi="Calibri"/>
                <w:b/>
                <w:bCs/>
                <w:color w:val="000000"/>
              </w:rPr>
              <w:t>1300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FFF2D4"/>
            <w:vAlign w:val="center"/>
            <w:hideMark/>
          </w:tcPr>
          <w:p w:rsidR="00BA59D1" w:rsidRPr="006A0A5D" w:rsidRDefault="00BA59D1" w:rsidP="008B6636">
            <w:pPr>
              <w:rPr>
                <w:rFonts w:ascii="Calibri" w:hAnsi="Calibri"/>
                <w:b/>
                <w:bCs/>
                <w:color w:val="000000"/>
              </w:rPr>
            </w:pPr>
            <w:r w:rsidRPr="006A0A5D">
              <w:rPr>
                <w:rFonts w:ascii="Calibri" w:hAnsi="Calibri"/>
                <w:b/>
                <w:bCs/>
                <w:color w:val="000000"/>
              </w:rPr>
              <w:t>REMUNERACIONES ADICIONALES Y ESPECIALES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FFF2D4"/>
            <w:noWrap/>
            <w:vAlign w:val="center"/>
            <w:hideMark/>
          </w:tcPr>
          <w:p w:rsidR="00BA59D1" w:rsidRPr="006A0A5D" w:rsidRDefault="00BA59D1" w:rsidP="008B663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A0A5D">
              <w:rPr>
                <w:rFonts w:ascii="Calibri" w:hAnsi="Calibri"/>
                <w:b/>
                <w:bCs/>
                <w:color w:val="000000"/>
              </w:rPr>
              <w:t xml:space="preserve">                      - </w:t>
            </w:r>
          </w:p>
        </w:tc>
      </w:tr>
      <w:tr w:rsidR="00BA59D1" w:rsidRPr="006A0A5D" w:rsidTr="008B663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6A0A5D" w:rsidRDefault="00BA59D1" w:rsidP="008B6636">
            <w:pPr>
              <w:jc w:val="center"/>
              <w:rPr>
                <w:rFonts w:ascii="Calibri" w:hAnsi="Calibri"/>
                <w:color w:val="000000"/>
              </w:rPr>
            </w:pPr>
            <w:r w:rsidRPr="006A0A5D"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BA59D1" w:rsidRPr="006A0A5D" w:rsidRDefault="00BA59D1" w:rsidP="008B6636">
            <w:pPr>
              <w:rPr>
                <w:rFonts w:ascii="Calibri" w:hAnsi="Calibri"/>
                <w:color w:val="000000"/>
              </w:rPr>
            </w:pPr>
            <w:r w:rsidRPr="006A0A5D">
              <w:rPr>
                <w:rFonts w:ascii="Calibri" w:hAnsi="Calibri"/>
                <w:color w:val="000000"/>
              </w:rPr>
              <w:t>Primas por años de servicios efectivos prestados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6A0A5D" w:rsidRDefault="00BA59D1" w:rsidP="008B6636">
            <w:pPr>
              <w:jc w:val="right"/>
              <w:rPr>
                <w:rFonts w:ascii="Calibri" w:hAnsi="Calibri"/>
                <w:color w:val="000000"/>
              </w:rPr>
            </w:pPr>
            <w:r w:rsidRPr="006A0A5D">
              <w:rPr>
                <w:rFonts w:ascii="Calibri" w:hAnsi="Calibri"/>
                <w:color w:val="000000"/>
              </w:rPr>
              <w:t> </w:t>
            </w:r>
          </w:p>
        </w:tc>
      </w:tr>
      <w:tr w:rsidR="00BA59D1" w:rsidRPr="006A0A5D" w:rsidTr="008B663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6A0A5D" w:rsidRDefault="00BA59D1" w:rsidP="008B6636">
            <w:pPr>
              <w:jc w:val="center"/>
              <w:rPr>
                <w:rFonts w:ascii="Calibri" w:hAnsi="Calibri"/>
                <w:color w:val="000000"/>
              </w:rPr>
            </w:pPr>
            <w:r w:rsidRPr="006A0A5D"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BA59D1" w:rsidRPr="006A0A5D" w:rsidRDefault="00BA59D1" w:rsidP="008B6636">
            <w:pPr>
              <w:rPr>
                <w:rFonts w:ascii="Calibri" w:hAnsi="Calibri"/>
                <w:color w:val="000000"/>
              </w:rPr>
            </w:pPr>
            <w:r w:rsidRPr="006A0A5D">
              <w:rPr>
                <w:rFonts w:ascii="Calibri" w:hAnsi="Calibri"/>
                <w:color w:val="000000"/>
              </w:rPr>
              <w:t>Primas de vacaciones, dominical y gratificación de fin de año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6A0A5D" w:rsidRDefault="00542DB0" w:rsidP="008B66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23,637.00</w:t>
            </w:r>
            <w:r w:rsidR="00BA59D1" w:rsidRPr="006A0A5D">
              <w:rPr>
                <w:rFonts w:ascii="Calibri" w:hAnsi="Calibri"/>
                <w:color w:val="000000"/>
              </w:rPr>
              <w:t> </w:t>
            </w:r>
          </w:p>
        </w:tc>
      </w:tr>
      <w:tr w:rsidR="00BA59D1" w:rsidRPr="0093671A" w:rsidTr="008B6636">
        <w:trPr>
          <w:trHeight w:val="300"/>
        </w:trPr>
        <w:tc>
          <w:tcPr>
            <w:tcW w:w="860" w:type="dxa"/>
            <w:tcBorders>
              <w:top w:val="single" w:sz="4" w:space="0" w:color="DDEBF7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000000" w:fill="00A79D"/>
            <w:noWrap/>
            <w:vAlign w:val="center"/>
            <w:hideMark/>
          </w:tcPr>
          <w:p w:rsidR="00BA59D1" w:rsidRPr="0093671A" w:rsidRDefault="00BA59D1" w:rsidP="008B6636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93671A">
              <w:rPr>
                <w:rFonts w:ascii="Calibri" w:hAnsi="Calibri"/>
                <w:b/>
                <w:bCs/>
                <w:color w:val="FFFFFF"/>
              </w:rPr>
              <w:t>2000</w:t>
            </w:r>
          </w:p>
        </w:tc>
        <w:tc>
          <w:tcPr>
            <w:tcW w:w="6460" w:type="dxa"/>
            <w:tcBorders>
              <w:top w:val="single" w:sz="4" w:space="0" w:color="DDEBF7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00A79D"/>
            <w:vAlign w:val="center"/>
            <w:hideMark/>
          </w:tcPr>
          <w:p w:rsidR="00BA59D1" w:rsidRPr="0093671A" w:rsidRDefault="00BA59D1" w:rsidP="008B6636">
            <w:pPr>
              <w:rPr>
                <w:rFonts w:ascii="Calibri" w:hAnsi="Calibri"/>
                <w:b/>
                <w:bCs/>
                <w:color w:val="FFFFFF"/>
              </w:rPr>
            </w:pPr>
            <w:r w:rsidRPr="0093671A">
              <w:rPr>
                <w:rFonts w:ascii="Calibri" w:hAnsi="Calibri"/>
                <w:b/>
                <w:bCs/>
                <w:color w:val="FFFFFF"/>
              </w:rPr>
              <w:t>MATERIALES Y SUMINISTROS</w:t>
            </w:r>
          </w:p>
        </w:tc>
        <w:tc>
          <w:tcPr>
            <w:tcW w:w="1200" w:type="dxa"/>
            <w:tcBorders>
              <w:top w:val="single" w:sz="4" w:space="0" w:color="DDEBF7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00A79D"/>
            <w:noWrap/>
            <w:vAlign w:val="center"/>
            <w:hideMark/>
          </w:tcPr>
          <w:p w:rsidR="00BA59D1" w:rsidRPr="0093671A" w:rsidRDefault="00BA59D1" w:rsidP="008B6636">
            <w:pPr>
              <w:jc w:val="right"/>
              <w:rPr>
                <w:rFonts w:ascii="Calibri" w:hAnsi="Calibri"/>
                <w:b/>
                <w:bCs/>
                <w:color w:val="FFFFFF"/>
              </w:rPr>
            </w:pPr>
            <w:r w:rsidRPr="0093671A">
              <w:rPr>
                <w:rFonts w:ascii="Calibri" w:hAnsi="Calibri"/>
                <w:b/>
                <w:bCs/>
                <w:color w:val="FFFFFF"/>
              </w:rPr>
              <w:t xml:space="preserve">                      - </w:t>
            </w:r>
          </w:p>
        </w:tc>
      </w:tr>
      <w:tr w:rsidR="00BA59D1" w:rsidRPr="0093671A" w:rsidTr="008B6636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000000" w:fill="FFF2D4"/>
            <w:noWrap/>
            <w:vAlign w:val="center"/>
            <w:hideMark/>
          </w:tcPr>
          <w:p w:rsidR="00BA59D1" w:rsidRPr="0093671A" w:rsidRDefault="00BA59D1" w:rsidP="008B6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3671A">
              <w:rPr>
                <w:rFonts w:ascii="Calibri" w:hAnsi="Calibri"/>
                <w:b/>
                <w:bCs/>
                <w:color w:val="000000"/>
              </w:rPr>
              <w:t>2100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FFF2D4"/>
            <w:vAlign w:val="center"/>
            <w:hideMark/>
          </w:tcPr>
          <w:p w:rsidR="00BA59D1" w:rsidRPr="0093671A" w:rsidRDefault="00BA59D1" w:rsidP="008B6636">
            <w:pPr>
              <w:rPr>
                <w:rFonts w:ascii="Calibri" w:hAnsi="Calibri"/>
                <w:b/>
                <w:bCs/>
                <w:color w:val="000000"/>
              </w:rPr>
            </w:pPr>
            <w:r w:rsidRPr="0093671A">
              <w:rPr>
                <w:rFonts w:ascii="Calibri" w:hAnsi="Calibri"/>
                <w:b/>
                <w:bCs/>
                <w:color w:val="000000"/>
              </w:rPr>
              <w:t>MATERIALES DE ADMINISTRACIÓN, EMISIÓN DE DOCUMENTOS Y ARTÍCULOS OFICIALES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000000" w:fill="FFF2D4"/>
            <w:noWrap/>
            <w:vAlign w:val="center"/>
            <w:hideMark/>
          </w:tcPr>
          <w:p w:rsidR="00BA59D1" w:rsidRPr="0093671A" w:rsidRDefault="00BA59D1" w:rsidP="008B663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3671A">
              <w:rPr>
                <w:rFonts w:ascii="Calibri" w:hAnsi="Calibri"/>
                <w:b/>
                <w:bCs/>
                <w:color w:val="000000"/>
              </w:rPr>
              <w:t xml:space="preserve">                      - </w:t>
            </w:r>
          </w:p>
        </w:tc>
      </w:tr>
      <w:tr w:rsidR="00BA59D1" w:rsidRPr="0093671A" w:rsidTr="008B663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center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BA59D1" w:rsidRPr="0093671A" w:rsidRDefault="00BA59D1" w:rsidP="008B6636">
            <w:pPr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Materiales y equipos menores de oficina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3,000</w:t>
            </w:r>
            <w:r w:rsidRPr="0093671A">
              <w:rPr>
                <w:rFonts w:ascii="Calibri" w:hAnsi="Calibri"/>
                <w:color w:val="000000"/>
              </w:rPr>
              <w:t> </w:t>
            </w:r>
          </w:p>
        </w:tc>
      </w:tr>
      <w:tr w:rsidR="00BA59D1" w:rsidRPr="0093671A" w:rsidTr="008B663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center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BA59D1" w:rsidRPr="0093671A" w:rsidRDefault="00BA59D1" w:rsidP="008B6636">
            <w:pPr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Materiales de impresión y reproduccion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1,500</w:t>
            </w:r>
            <w:r w:rsidRPr="0093671A">
              <w:rPr>
                <w:rFonts w:ascii="Calibri" w:hAnsi="Calibri"/>
                <w:color w:val="000000"/>
              </w:rPr>
              <w:t> </w:t>
            </w:r>
          </w:p>
        </w:tc>
      </w:tr>
      <w:tr w:rsidR="00BA59D1" w:rsidRPr="0093671A" w:rsidTr="008B663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center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BA59D1" w:rsidRPr="0093671A" w:rsidRDefault="00BA59D1" w:rsidP="008B6636">
            <w:pPr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Material impreso e información digital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1,800</w:t>
            </w:r>
            <w:r w:rsidRPr="0093671A">
              <w:rPr>
                <w:rFonts w:ascii="Calibri" w:hAnsi="Calibri"/>
                <w:color w:val="000000"/>
              </w:rPr>
              <w:t> </w:t>
            </w:r>
          </w:p>
        </w:tc>
      </w:tr>
      <w:tr w:rsidR="00BA59D1" w:rsidRPr="0093671A" w:rsidTr="008B663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center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BA59D1" w:rsidRPr="0093671A" w:rsidRDefault="00BA59D1" w:rsidP="008B6636">
            <w:pPr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ALIMENTOS Y UTENSILIOS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right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 xml:space="preserve">                      - </w:t>
            </w:r>
          </w:p>
        </w:tc>
      </w:tr>
      <w:tr w:rsidR="00BA59D1" w:rsidRPr="0093671A" w:rsidTr="008B663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center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BA59D1" w:rsidRPr="0093671A" w:rsidRDefault="00BA59D1" w:rsidP="008B6636">
            <w:pPr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Productos alimenticios para personas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2,500</w:t>
            </w:r>
            <w:r w:rsidRPr="0093671A">
              <w:rPr>
                <w:rFonts w:ascii="Calibri" w:hAnsi="Calibri"/>
                <w:color w:val="000000"/>
              </w:rPr>
              <w:t> </w:t>
            </w:r>
          </w:p>
        </w:tc>
      </w:tr>
      <w:tr w:rsidR="00BA59D1" w:rsidRPr="0093671A" w:rsidTr="008B663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center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2600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BA59D1" w:rsidRPr="0093671A" w:rsidRDefault="00BA59D1" w:rsidP="008B6636">
            <w:pPr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COMBUSTIBLES, LUBRICANTES Y ADITIVOS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right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 xml:space="preserve">                      - </w:t>
            </w:r>
          </w:p>
        </w:tc>
      </w:tr>
      <w:tr w:rsidR="00BA59D1" w:rsidRPr="0093671A" w:rsidTr="008B663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center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BA59D1" w:rsidRPr="0093671A" w:rsidRDefault="00BA59D1" w:rsidP="008B6636">
            <w:pPr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Combustibles, lubricantes y aditivos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20,000</w:t>
            </w:r>
            <w:r w:rsidRPr="0093671A">
              <w:rPr>
                <w:rFonts w:ascii="Calibri" w:hAnsi="Calibri"/>
                <w:color w:val="000000"/>
              </w:rPr>
              <w:t> </w:t>
            </w:r>
          </w:p>
        </w:tc>
      </w:tr>
      <w:tr w:rsidR="00BA59D1" w:rsidRPr="0093671A" w:rsidTr="008B663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center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BA59D1" w:rsidRPr="0093671A" w:rsidRDefault="00BA59D1" w:rsidP="008B6636">
            <w:pPr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SERVICIOS GENERALES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right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 xml:space="preserve">                      - </w:t>
            </w:r>
          </w:p>
        </w:tc>
      </w:tr>
      <w:tr w:rsidR="00BA59D1" w:rsidRPr="0093671A" w:rsidTr="008B663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center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3100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BA59D1" w:rsidRPr="0093671A" w:rsidRDefault="00BA59D1" w:rsidP="008B6636">
            <w:pPr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SERVICIOS BÁSICOS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right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 xml:space="preserve">                      - </w:t>
            </w:r>
          </w:p>
        </w:tc>
      </w:tr>
      <w:tr w:rsidR="00BA59D1" w:rsidRPr="0093671A" w:rsidTr="008B663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center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318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BA59D1" w:rsidRPr="0093671A" w:rsidRDefault="00BA59D1" w:rsidP="008B6636">
            <w:pPr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Servicios postales y telegráficos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1,100</w:t>
            </w:r>
            <w:r w:rsidRPr="0093671A">
              <w:rPr>
                <w:rFonts w:ascii="Calibri" w:hAnsi="Calibri"/>
                <w:color w:val="000000"/>
              </w:rPr>
              <w:t> </w:t>
            </w:r>
          </w:p>
        </w:tc>
      </w:tr>
      <w:tr w:rsidR="00BA59D1" w:rsidRPr="0093671A" w:rsidTr="008B663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center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3400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BA59D1" w:rsidRPr="0093671A" w:rsidRDefault="00BA59D1" w:rsidP="008B6636">
            <w:pPr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SERVICIOS FINANCIEROS, BANCARIOS Y COMERCIALES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right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 xml:space="preserve">                      - </w:t>
            </w:r>
          </w:p>
        </w:tc>
      </w:tr>
      <w:tr w:rsidR="00BA59D1" w:rsidRPr="0093671A" w:rsidTr="008B663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center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347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BA59D1" w:rsidRPr="0093671A" w:rsidRDefault="00BA59D1" w:rsidP="008B6636">
            <w:pPr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Fletes y maniobras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  <w:r w:rsidRPr="0093671A">
              <w:rPr>
                <w:rFonts w:ascii="Calibri" w:hAnsi="Calibri"/>
                <w:color w:val="000000"/>
              </w:rPr>
              <w:t> </w:t>
            </w:r>
          </w:p>
        </w:tc>
      </w:tr>
      <w:tr w:rsidR="00BA59D1" w:rsidRPr="0093671A" w:rsidTr="008B663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center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lastRenderedPageBreak/>
              <w:t>3700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BA59D1" w:rsidRPr="0093671A" w:rsidRDefault="00BA59D1" w:rsidP="008B6636">
            <w:pPr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SERVICIOS DE TRASLADO Y VIÁTICOS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right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 xml:space="preserve">                      - </w:t>
            </w:r>
          </w:p>
        </w:tc>
      </w:tr>
      <w:tr w:rsidR="00BA59D1" w:rsidRPr="0093671A" w:rsidTr="008B663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center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BA59D1" w:rsidRPr="0093671A" w:rsidRDefault="00BA59D1" w:rsidP="008B6636">
            <w:pPr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Pasajes aéreos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right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 </w:t>
            </w:r>
          </w:p>
        </w:tc>
      </w:tr>
      <w:tr w:rsidR="00BA59D1" w:rsidRPr="0093671A" w:rsidTr="008B663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center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372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BA59D1" w:rsidRPr="0093671A" w:rsidRDefault="00BA59D1" w:rsidP="008B6636">
            <w:pPr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Pasajes terrestres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3,500</w:t>
            </w:r>
            <w:r w:rsidRPr="0093671A">
              <w:rPr>
                <w:rFonts w:ascii="Calibri" w:hAnsi="Calibri"/>
                <w:color w:val="000000"/>
              </w:rPr>
              <w:t> </w:t>
            </w:r>
          </w:p>
        </w:tc>
      </w:tr>
      <w:tr w:rsidR="00BA59D1" w:rsidRPr="0093671A" w:rsidTr="008B663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center"/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375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BA59D1" w:rsidRPr="0093671A" w:rsidRDefault="00BA59D1" w:rsidP="008B6636">
            <w:pPr>
              <w:rPr>
                <w:rFonts w:ascii="Calibri" w:hAnsi="Calibri"/>
                <w:color w:val="000000"/>
              </w:rPr>
            </w:pPr>
            <w:r w:rsidRPr="0093671A">
              <w:rPr>
                <w:rFonts w:ascii="Calibri" w:hAnsi="Calibri"/>
                <w:color w:val="000000"/>
              </w:rPr>
              <w:t>Viáticos en el país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93671A" w:rsidRDefault="00BA59D1" w:rsidP="008B66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28,000</w:t>
            </w:r>
            <w:r w:rsidRPr="0093671A">
              <w:rPr>
                <w:rFonts w:ascii="Calibri" w:hAnsi="Calibri"/>
                <w:color w:val="000000"/>
              </w:rPr>
              <w:t> </w:t>
            </w:r>
          </w:p>
        </w:tc>
      </w:tr>
      <w:tr w:rsidR="00BA59D1" w:rsidRPr="006A0A5D" w:rsidTr="008B663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6A0A5D" w:rsidRDefault="00BA59D1" w:rsidP="008B6636">
            <w:pPr>
              <w:jc w:val="center"/>
              <w:rPr>
                <w:rFonts w:ascii="Calibri" w:hAnsi="Calibri"/>
                <w:color w:val="000000"/>
              </w:rPr>
            </w:pPr>
            <w:r w:rsidRPr="006A0A5D">
              <w:rPr>
                <w:rFonts w:ascii="Calibri" w:hAnsi="Calibri"/>
                <w:color w:val="000000"/>
              </w:rPr>
              <w:t>398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vAlign w:val="center"/>
            <w:hideMark/>
          </w:tcPr>
          <w:p w:rsidR="00BA59D1" w:rsidRPr="006A0A5D" w:rsidRDefault="00BA59D1" w:rsidP="008B6636">
            <w:pPr>
              <w:rPr>
                <w:rFonts w:ascii="Calibri" w:hAnsi="Calibri"/>
                <w:color w:val="000000"/>
              </w:rPr>
            </w:pPr>
            <w:r w:rsidRPr="006A0A5D">
              <w:rPr>
                <w:rFonts w:ascii="Calibri" w:hAnsi="Calibri"/>
                <w:color w:val="000000"/>
              </w:rPr>
              <w:t>Impuesto sobre nómina y otros que se deriven de una relación laboral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:rsidR="00BA59D1" w:rsidRPr="006A0A5D" w:rsidRDefault="00BA59D1" w:rsidP="008B6636">
            <w:pPr>
              <w:jc w:val="right"/>
              <w:rPr>
                <w:rFonts w:ascii="Calibri" w:hAnsi="Calibri"/>
                <w:color w:val="000000"/>
              </w:rPr>
            </w:pPr>
            <w:r w:rsidRPr="006A0A5D">
              <w:rPr>
                <w:rFonts w:ascii="Calibri" w:hAnsi="Calibri"/>
                <w:color w:val="000000"/>
              </w:rPr>
              <w:t> </w:t>
            </w:r>
            <w:r w:rsidR="00542DB0">
              <w:rPr>
                <w:rFonts w:ascii="Calibri" w:hAnsi="Calibri"/>
                <w:color w:val="000000"/>
              </w:rPr>
              <w:t>13,096.20</w:t>
            </w:r>
          </w:p>
        </w:tc>
      </w:tr>
    </w:tbl>
    <w:p w:rsidR="00BA59D1" w:rsidRPr="006A0A5D" w:rsidRDefault="00BA59D1" w:rsidP="00BA59D1">
      <w:pPr>
        <w:ind w:right="675"/>
        <w:jc w:val="right"/>
        <w:rPr>
          <w:rFonts w:cs="Arial"/>
          <w:b/>
          <w:sz w:val="22"/>
          <w:szCs w:val="22"/>
        </w:rPr>
      </w:pPr>
    </w:p>
    <w:p w:rsidR="00BA59D1" w:rsidRDefault="00542DB0" w:rsidP="00BA59D1">
      <w:pPr>
        <w:ind w:right="675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Total       $ 242,724.95</w:t>
      </w:r>
    </w:p>
    <w:p w:rsidR="00485E18" w:rsidRDefault="00485E18" w:rsidP="00200D08">
      <w:pPr>
        <w:jc w:val="both"/>
        <w:rPr>
          <w:b/>
        </w:rPr>
      </w:pPr>
    </w:p>
    <w:p w:rsidR="00F035C0" w:rsidRPr="0089304A" w:rsidRDefault="008D2F04" w:rsidP="008D2F04">
      <w:pPr>
        <w:jc w:val="center"/>
        <w:rPr>
          <w:b/>
        </w:rPr>
      </w:pPr>
      <w:r w:rsidRPr="0089304A">
        <w:rPr>
          <w:b/>
        </w:rPr>
        <w:t>MECANISMO</w:t>
      </w:r>
      <w:r>
        <w:rPr>
          <w:b/>
        </w:rPr>
        <w:t xml:space="preserve">S </w:t>
      </w:r>
      <w:r w:rsidRPr="0089304A">
        <w:rPr>
          <w:b/>
        </w:rPr>
        <w:t xml:space="preserve"> DE SEGUIMIENTO Y </w:t>
      </w:r>
      <w:r>
        <w:rPr>
          <w:b/>
        </w:rPr>
        <w:t xml:space="preserve"> EV</w:t>
      </w:r>
      <w:r w:rsidRPr="0089304A">
        <w:rPr>
          <w:b/>
        </w:rPr>
        <w:t>ALUACIÓN</w:t>
      </w:r>
      <w:r w:rsidR="00F035C0" w:rsidRPr="0089304A">
        <w:rPr>
          <w:b/>
        </w:rPr>
        <w:t>.</w:t>
      </w:r>
    </w:p>
    <w:p w:rsidR="00F035C0" w:rsidRDefault="008D2F04" w:rsidP="008D2F04">
      <w:pPr>
        <w:tabs>
          <w:tab w:val="left" w:pos="1454"/>
        </w:tabs>
        <w:jc w:val="both"/>
      </w:pPr>
      <w:r>
        <w:tab/>
      </w:r>
    </w:p>
    <w:p w:rsidR="00667829" w:rsidRDefault="00200D08" w:rsidP="000A5FD0">
      <w:pPr>
        <w:jc w:val="both"/>
      </w:pPr>
      <w:r>
        <w:tab/>
      </w:r>
      <w:r w:rsidR="00667829">
        <w:t>De acuerdo</w:t>
      </w:r>
      <w:r w:rsidR="00392954">
        <w:t xml:space="preserve"> a</w:t>
      </w:r>
      <w:r w:rsidR="00392954">
        <w:rPr>
          <w:rFonts w:cs="Arial"/>
        </w:rPr>
        <w:t>l Reglamento de</w:t>
      </w:r>
      <w:r w:rsidR="000A5FD0" w:rsidRPr="00336129">
        <w:rPr>
          <w:rFonts w:cs="Arial"/>
        </w:rPr>
        <w:t xml:space="preserve"> Regularización </w:t>
      </w:r>
      <w:r w:rsidR="000A5FD0">
        <w:rPr>
          <w:rFonts w:cs="Arial"/>
        </w:rPr>
        <w:t>y Titulación de Predios Urbanos en</w:t>
      </w:r>
      <w:r w:rsidR="00CE3A22">
        <w:t xml:space="preserve"> el Municipio de Cabo Corrientes </w:t>
      </w:r>
      <w:r w:rsidR="000A5FD0">
        <w:t xml:space="preserve">se </w:t>
      </w:r>
      <w:r w:rsidR="00CE3A22">
        <w:t>tomara medidas de control a</w:t>
      </w:r>
      <w:r w:rsidR="00392954">
        <w:t xml:space="preserve"> tra</w:t>
      </w:r>
      <w:r w:rsidR="00CE3A22">
        <w:t xml:space="preserve">ves de </w:t>
      </w:r>
      <w:r w:rsidR="000A5FD0">
        <w:t xml:space="preserve">la comisión municipal o la secretara técnica de la comisión </w:t>
      </w:r>
      <w:r w:rsidR="00CE3A22">
        <w:t>según sea el caso</w:t>
      </w:r>
      <w:r w:rsidR="00667829">
        <w:t>.</w:t>
      </w:r>
    </w:p>
    <w:p w:rsidR="00DE6BE1" w:rsidRDefault="00DE6BE1" w:rsidP="00B30FE2">
      <w:pPr>
        <w:ind w:firstLine="708"/>
        <w:jc w:val="both"/>
      </w:pPr>
    </w:p>
    <w:p w:rsidR="00330388" w:rsidRDefault="001329E0" w:rsidP="000A5FD0">
      <w:pPr>
        <w:ind w:firstLine="708"/>
        <w:jc w:val="both"/>
        <w:rPr>
          <w:rFonts w:cs="Arial"/>
          <w:sz w:val="22"/>
          <w:szCs w:val="22"/>
        </w:rPr>
      </w:pPr>
      <w:r>
        <w:t>También</w:t>
      </w:r>
      <w:r w:rsidR="00667829">
        <w:t xml:space="preserve"> la administración de este programa quedara sujeta a las normas </w:t>
      </w:r>
      <w:r w:rsidR="000A5FD0">
        <w:rPr>
          <w:rFonts w:cs="Arial"/>
          <w:sz w:val="22"/>
          <w:szCs w:val="22"/>
        </w:rPr>
        <w:t>en e</w:t>
      </w:r>
      <w:r w:rsidR="000A5FD0" w:rsidRPr="00FD34DA">
        <w:rPr>
          <w:rFonts w:cs="Arial"/>
          <w:sz w:val="22"/>
          <w:szCs w:val="22"/>
        </w:rPr>
        <w:t xml:space="preserve">l art. 115 de la Constitución Política de Los Estados Unidos Mexicanos; art. 80 fracc. V de La Constitución Política del Estado de Jalisco; art. 64 párrafo segundo, art. 66 y art. 68 de La Ley Agraria; </w:t>
      </w:r>
      <w:r w:rsidR="000A5FD0">
        <w:rPr>
          <w:rFonts w:cs="Arial"/>
          <w:sz w:val="22"/>
          <w:szCs w:val="22"/>
        </w:rPr>
        <w:t xml:space="preserve">lo establecido en la </w:t>
      </w:r>
      <w:r w:rsidR="000A5FD0" w:rsidRPr="00FD34DA">
        <w:rPr>
          <w:rFonts w:cs="Arial"/>
          <w:sz w:val="22"/>
          <w:szCs w:val="22"/>
        </w:rPr>
        <w:t>L</w:t>
      </w:r>
      <w:r w:rsidR="000A5FD0" w:rsidRPr="00FD34DA">
        <w:rPr>
          <w:rFonts w:cs="Arial"/>
          <w:bCs/>
          <w:sz w:val="22"/>
          <w:szCs w:val="22"/>
        </w:rPr>
        <w:t xml:space="preserve">ey del Gobierno y la Administración Pública Municipal del Estado de Jalisco; </w:t>
      </w:r>
      <w:r w:rsidR="000A5FD0" w:rsidRPr="00FD34DA">
        <w:rPr>
          <w:rFonts w:cs="Arial"/>
          <w:sz w:val="22"/>
          <w:szCs w:val="22"/>
        </w:rPr>
        <w:t xml:space="preserve">la Ley General de Asentamientos Humanos; </w:t>
      </w:r>
      <w:r w:rsidR="000A5FD0">
        <w:rPr>
          <w:rFonts w:cs="Arial"/>
          <w:sz w:val="22"/>
          <w:szCs w:val="22"/>
        </w:rPr>
        <w:t>y</w:t>
      </w:r>
      <w:r w:rsidR="000A5FD0" w:rsidRPr="00FD34DA">
        <w:rPr>
          <w:rFonts w:cs="Arial"/>
          <w:sz w:val="22"/>
          <w:szCs w:val="22"/>
        </w:rPr>
        <w:t xml:space="preserve"> del Código Urbano del Estado de</w:t>
      </w:r>
      <w:r w:rsidR="000A5FD0">
        <w:rPr>
          <w:rFonts w:cs="Arial"/>
          <w:sz w:val="22"/>
          <w:szCs w:val="22"/>
        </w:rPr>
        <w:t xml:space="preserve"> Jalisco</w:t>
      </w:r>
      <w:r w:rsidR="001C2609">
        <w:rPr>
          <w:rFonts w:cs="Arial"/>
          <w:sz w:val="22"/>
          <w:szCs w:val="22"/>
        </w:rPr>
        <w:t>.</w:t>
      </w:r>
    </w:p>
    <w:p w:rsidR="001C2609" w:rsidRPr="000A5FD0" w:rsidRDefault="001C2609" w:rsidP="000A5FD0">
      <w:pPr>
        <w:ind w:firstLine="708"/>
        <w:jc w:val="both"/>
        <w:rPr>
          <w:rFonts w:cs="Arial"/>
          <w:bCs/>
          <w:sz w:val="22"/>
          <w:szCs w:val="22"/>
        </w:rPr>
      </w:pPr>
    </w:p>
    <w:p w:rsidR="008539C8" w:rsidRDefault="001C2609" w:rsidP="00F104D4">
      <w:pPr>
        <w:ind w:firstLine="708"/>
        <w:jc w:val="both"/>
      </w:pPr>
      <w:r>
        <w:t xml:space="preserve">La </w:t>
      </w:r>
      <w:r w:rsidR="002B4577">
        <w:t>secretaria</w:t>
      </w:r>
      <w:r>
        <w:t xml:space="preserve"> </w:t>
      </w:r>
      <w:r w:rsidR="002B4577">
        <w:t>técnica</w:t>
      </w:r>
      <w:r w:rsidR="008539C8">
        <w:t xml:space="preserve"> deberá informar al Comité </w:t>
      </w:r>
      <w:r>
        <w:t xml:space="preserve">de </w:t>
      </w:r>
      <w:r w:rsidR="002B4577">
        <w:t>Regularización</w:t>
      </w:r>
      <w:r>
        <w:t xml:space="preserve"> </w:t>
      </w:r>
      <w:r w:rsidR="00392954">
        <w:t xml:space="preserve">de </w:t>
      </w:r>
      <w:r>
        <w:t>acuerdo al art. 10</w:t>
      </w:r>
      <w:r w:rsidR="008539C8">
        <w:t xml:space="preserve"> de la</w:t>
      </w:r>
      <w:r w:rsidRPr="001C2609">
        <w:rPr>
          <w:rFonts w:cs="Arial"/>
        </w:rPr>
        <w:t xml:space="preserve"> </w:t>
      </w:r>
      <w:r>
        <w:rPr>
          <w:rFonts w:cs="Arial"/>
        </w:rPr>
        <w:t xml:space="preserve">de </w:t>
      </w:r>
      <w:r w:rsidRPr="00336129">
        <w:rPr>
          <w:rFonts w:cs="Arial"/>
        </w:rPr>
        <w:t xml:space="preserve">La Regularización </w:t>
      </w:r>
      <w:r>
        <w:rPr>
          <w:rFonts w:cs="Arial"/>
        </w:rPr>
        <w:t>y Titulación de Predios Urbanos</w:t>
      </w:r>
      <w:r w:rsidR="002B4577">
        <w:rPr>
          <w:rFonts w:cs="Arial"/>
        </w:rPr>
        <w:t xml:space="preserve"> en el Estado de Jalisco</w:t>
      </w:r>
      <w:r w:rsidR="002B4577">
        <w:t>.</w:t>
      </w:r>
    </w:p>
    <w:p w:rsidR="003D65B4" w:rsidRDefault="003D65B4" w:rsidP="003D65B4">
      <w:pPr>
        <w:jc w:val="center"/>
        <w:rPr>
          <w:rFonts w:cs="Arial"/>
          <w:sz w:val="22"/>
          <w:szCs w:val="22"/>
        </w:rPr>
      </w:pPr>
    </w:p>
    <w:p w:rsidR="003D65B4" w:rsidRPr="00EB1B71" w:rsidRDefault="003D65B4" w:rsidP="003D65B4">
      <w:pPr>
        <w:jc w:val="center"/>
        <w:rPr>
          <w:rFonts w:cs="Arial"/>
          <w:sz w:val="22"/>
          <w:szCs w:val="22"/>
        </w:rPr>
      </w:pPr>
      <w:r w:rsidRPr="00EB1B71">
        <w:rPr>
          <w:rFonts w:cs="Arial"/>
          <w:sz w:val="22"/>
          <w:szCs w:val="22"/>
        </w:rPr>
        <w:t>ATENTAMENTE.</w:t>
      </w:r>
    </w:p>
    <w:p w:rsidR="00392954" w:rsidRPr="00EB1B71" w:rsidRDefault="00392954" w:rsidP="0039295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“</w:t>
      </w:r>
      <w:r w:rsidR="00D66B77">
        <w:rPr>
          <w:rFonts w:cs="Arial"/>
          <w:b/>
          <w:sz w:val="22"/>
          <w:szCs w:val="22"/>
        </w:rPr>
        <w:t>2019, Año de la Igualdad de Genero en Jalisco</w:t>
      </w:r>
      <w:r>
        <w:rPr>
          <w:rFonts w:cs="Arial"/>
          <w:b/>
          <w:sz w:val="22"/>
          <w:szCs w:val="22"/>
        </w:rPr>
        <w:t>.</w:t>
      </w:r>
      <w:r w:rsidR="003D65B4" w:rsidRPr="00EB1B71">
        <w:rPr>
          <w:rFonts w:cs="Arial"/>
          <w:b/>
          <w:sz w:val="22"/>
          <w:szCs w:val="22"/>
        </w:rPr>
        <w:t>”</w:t>
      </w:r>
    </w:p>
    <w:p w:rsidR="003D65B4" w:rsidRPr="00EB1B71" w:rsidRDefault="003D65B4" w:rsidP="003D65B4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 Tu</w:t>
      </w:r>
      <w:r w:rsidR="00D66B77">
        <w:rPr>
          <w:rFonts w:cs="Arial"/>
          <w:sz w:val="22"/>
          <w:szCs w:val="22"/>
        </w:rPr>
        <w:t>ito, C. Ctes. Jal. 17</w:t>
      </w:r>
      <w:r w:rsidR="00445EEC">
        <w:rPr>
          <w:rFonts w:cs="Arial"/>
          <w:sz w:val="22"/>
          <w:szCs w:val="22"/>
        </w:rPr>
        <w:t xml:space="preserve"> de octubre del Año 2019</w:t>
      </w:r>
    </w:p>
    <w:p w:rsidR="003D65B4" w:rsidRPr="00EB1B71" w:rsidRDefault="003D65B4" w:rsidP="003D65B4">
      <w:pPr>
        <w:jc w:val="center"/>
        <w:rPr>
          <w:rFonts w:cs="Arial"/>
          <w:sz w:val="22"/>
          <w:szCs w:val="22"/>
        </w:rPr>
      </w:pPr>
    </w:p>
    <w:tbl>
      <w:tblPr>
        <w:tblW w:w="5623" w:type="dxa"/>
        <w:tblInd w:w="1809" w:type="dxa"/>
        <w:tblLook w:val="01E0" w:firstRow="1" w:lastRow="1" w:firstColumn="1" w:lastColumn="1" w:noHBand="0" w:noVBand="0"/>
      </w:tblPr>
      <w:tblGrid>
        <w:gridCol w:w="5387"/>
        <w:gridCol w:w="236"/>
      </w:tblGrid>
      <w:tr w:rsidR="003D65B4" w:rsidRPr="00EB1B71" w:rsidTr="00596BBD">
        <w:tc>
          <w:tcPr>
            <w:tcW w:w="5387" w:type="dxa"/>
          </w:tcPr>
          <w:p w:rsidR="003D65B4" w:rsidRDefault="00392954" w:rsidP="00596BB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</w:t>
            </w:r>
            <w:r w:rsidR="00D66B77">
              <w:rPr>
                <w:rFonts w:cs="Arial"/>
                <w:sz w:val="22"/>
                <w:szCs w:val="22"/>
              </w:rPr>
              <w:t>________</w:t>
            </w:r>
            <w:r>
              <w:rPr>
                <w:rFonts w:cs="Arial"/>
                <w:sz w:val="22"/>
                <w:szCs w:val="22"/>
              </w:rPr>
              <w:t>______</w:t>
            </w:r>
          </w:p>
          <w:p w:rsidR="003D65B4" w:rsidRPr="00EB1B71" w:rsidRDefault="00D66B77" w:rsidP="00596BB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LIC. DANIEL DE JESUS CARDENAS GARCIA</w:t>
            </w:r>
          </w:p>
          <w:p w:rsidR="003D65B4" w:rsidRPr="00EB1B71" w:rsidRDefault="003D65B4" w:rsidP="00596BB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Secretario Técnico COMUR</w:t>
            </w:r>
          </w:p>
        </w:tc>
        <w:tc>
          <w:tcPr>
            <w:tcW w:w="236" w:type="dxa"/>
            <w:tcBorders>
              <w:left w:val="nil"/>
            </w:tcBorders>
          </w:tcPr>
          <w:p w:rsidR="003D65B4" w:rsidRPr="00EB1B71" w:rsidRDefault="003D65B4" w:rsidP="00596BB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3D65B4" w:rsidRPr="00EB1B71" w:rsidRDefault="0002098F" w:rsidP="003D65B4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2018-2021</w:t>
      </w:r>
    </w:p>
    <w:p w:rsidR="003D65B4" w:rsidRPr="00A96389" w:rsidRDefault="003D65B4" w:rsidP="003D65B4">
      <w:pPr>
        <w:jc w:val="both"/>
        <w:rPr>
          <w:rFonts w:cs="Arial"/>
          <w:sz w:val="16"/>
          <w:szCs w:val="16"/>
        </w:rPr>
      </w:pPr>
      <w:r w:rsidRPr="00A96389">
        <w:rPr>
          <w:rFonts w:cs="Arial"/>
          <w:sz w:val="16"/>
          <w:szCs w:val="16"/>
        </w:rPr>
        <w:t>C.c.p.- Archivo</w:t>
      </w:r>
    </w:p>
    <w:p w:rsidR="003D65B4" w:rsidRPr="00A96389" w:rsidRDefault="003D65B4" w:rsidP="003D65B4">
      <w:pPr>
        <w:jc w:val="both"/>
        <w:rPr>
          <w:rFonts w:cs="Arial"/>
          <w:sz w:val="16"/>
          <w:szCs w:val="16"/>
        </w:rPr>
      </w:pPr>
      <w:r w:rsidRPr="00A96389">
        <w:rPr>
          <w:rFonts w:cs="Arial"/>
          <w:sz w:val="16"/>
          <w:szCs w:val="16"/>
        </w:rPr>
        <w:t>C.c.p.- Secretaria COMUR.</w:t>
      </w:r>
    </w:p>
    <w:p w:rsidR="003D65B4" w:rsidRPr="00A96389" w:rsidRDefault="003D65B4" w:rsidP="003D65B4">
      <w:pPr>
        <w:jc w:val="both"/>
        <w:rPr>
          <w:rFonts w:cs="Arial"/>
          <w:sz w:val="16"/>
          <w:szCs w:val="16"/>
        </w:rPr>
      </w:pPr>
      <w:r w:rsidRPr="00A96389">
        <w:rPr>
          <w:rFonts w:cs="Arial"/>
          <w:sz w:val="16"/>
          <w:szCs w:val="16"/>
        </w:rPr>
        <w:t>C.c.p.-Secretaria General</w:t>
      </w:r>
    </w:p>
    <w:p w:rsidR="003D65B4" w:rsidRPr="00A96389" w:rsidRDefault="00D66B77" w:rsidP="003D65B4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DJCG/djcg</w:t>
      </w:r>
    </w:p>
    <w:p w:rsidR="002B4577" w:rsidRDefault="002B4577" w:rsidP="00F104D4">
      <w:pPr>
        <w:ind w:firstLine="708"/>
        <w:jc w:val="both"/>
      </w:pPr>
    </w:p>
    <w:sectPr w:rsidR="002B4577" w:rsidSect="00485E18">
      <w:headerReference w:type="default" r:id="rId8"/>
      <w:pgSz w:w="12240" w:h="15840"/>
      <w:pgMar w:top="1701" w:right="1183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E6" w:rsidRDefault="001635E6" w:rsidP="00D66B77">
      <w:r>
        <w:separator/>
      </w:r>
    </w:p>
  </w:endnote>
  <w:endnote w:type="continuationSeparator" w:id="0">
    <w:p w:rsidR="001635E6" w:rsidRDefault="001635E6" w:rsidP="00D6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E6" w:rsidRDefault="001635E6" w:rsidP="00D66B77">
      <w:r>
        <w:separator/>
      </w:r>
    </w:p>
  </w:footnote>
  <w:footnote w:type="continuationSeparator" w:id="0">
    <w:p w:rsidR="001635E6" w:rsidRDefault="001635E6" w:rsidP="00D6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77" w:rsidRPr="00D66B77" w:rsidRDefault="006B3375" w:rsidP="00D66B77">
    <w:pPr>
      <w:pStyle w:val="Encabezado"/>
      <w:jc w:val="right"/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-411480</wp:posOffset>
          </wp:positionV>
          <wp:extent cx="1285875" cy="1304925"/>
          <wp:effectExtent l="0" t="0" r="0" b="0"/>
          <wp:wrapSquare wrapText="bothSides"/>
          <wp:docPr id="2" name="Imagen 1" descr="Gobierno de Cabo Corrie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obierno de Cabo Corrie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B77" w:rsidRPr="00D66B77">
      <w:rPr>
        <w:rFonts w:ascii="Arial Black" w:hAnsi="Arial Black"/>
      </w:rPr>
      <w:t>COMISION MUNICIPAL</w:t>
    </w:r>
  </w:p>
  <w:p w:rsidR="00D66B77" w:rsidRDefault="00D66B77" w:rsidP="00D66B77">
    <w:pPr>
      <w:pStyle w:val="Encabezado"/>
      <w:jc w:val="right"/>
      <w:rPr>
        <w:rFonts w:ascii="Arial Black" w:hAnsi="Arial Black"/>
      </w:rPr>
    </w:pPr>
    <w:r w:rsidRPr="00D66B77">
      <w:rPr>
        <w:rFonts w:ascii="Arial Black" w:hAnsi="Arial Black"/>
      </w:rPr>
      <w:t>DE REGULARIZACION</w:t>
    </w:r>
  </w:p>
  <w:p w:rsidR="00D66B77" w:rsidRPr="00D66B77" w:rsidRDefault="00D66B77" w:rsidP="00D66B77">
    <w:pPr>
      <w:pStyle w:val="Encabezado"/>
      <w:jc w:val="right"/>
      <w:rPr>
        <w:rFonts w:ascii="Arial Black" w:hAnsi="Arial Black"/>
      </w:rPr>
    </w:pPr>
    <w:r>
      <w:rPr>
        <w:rFonts w:ascii="Arial Black" w:hAnsi="Arial Black"/>
      </w:rPr>
      <w:t>COMUR</w:t>
    </w:r>
  </w:p>
  <w:p w:rsidR="00D66B77" w:rsidRDefault="00D66B77" w:rsidP="00D66B77">
    <w:pPr>
      <w:pStyle w:val="Encabezado"/>
    </w:pPr>
    <w:r w:rsidRPr="00D66B77">
      <w:rPr>
        <w:rFonts w:ascii="Arial Black" w:hAnsi="Arial Black"/>
      </w:rPr>
      <w:t>COMUR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13DB"/>
    <w:multiLevelType w:val="hybridMultilevel"/>
    <w:tmpl w:val="5C1E7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47D3B"/>
    <w:multiLevelType w:val="hybridMultilevel"/>
    <w:tmpl w:val="1AFA3A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E7"/>
    <w:rsid w:val="00014889"/>
    <w:rsid w:val="0002098F"/>
    <w:rsid w:val="000253F2"/>
    <w:rsid w:val="00042522"/>
    <w:rsid w:val="00047B62"/>
    <w:rsid w:val="00051B44"/>
    <w:rsid w:val="00080361"/>
    <w:rsid w:val="00085B7A"/>
    <w:rsid w:val="0009512F"/>
    <w:rsid w:val="000A5FD0"/>
    <w:rsid w:val="000D5747"/>
    <w:rsid w:val="000F2818"/>
    <w:rsid w:val="00100FAA"/>
    <w:rsid w:val="001017D2"/>
    <w:rsid w:val="001208B6"/>
    <w:rsid w:val="001329E0"/>
    <w:rsid w:val="0014391B"/>
    <w:rsid w:val="001563CF"/>
    <w:rsid w:val="001635E6"/>
    <w:rsid w:val="00180690"/>
    <w:rsid w:val="00184862"/>
    <w:rsid w:val="00194D44"/>
    <w:rsid w:val="001B5536"/>
    <w:rsid w:val="001C0729"/>
    <w:rsid w:val="001C2609"/>
    <w:rsid w:val="001F2D3B"/>
    <w:rsid w:val="00200D08"/>
    <w:rsid w:val="00224E2A"/>
    <w:rsid w:val="00227BD2"/>
    <w:rsid w:val="002318C6"/>
    <w:rsid w:val="00244CB8"/>
    <w:rsid w:val="00265E82"/>
    <w:rsid w:val="00274648"/>
    <w:rsid w:val="00285FD4"/>
    <w:rsid w:val="002A3AC2"/>
    <w:rsid w:val="002B4577"/>
    <w:rsid w:val="002C1A22"/>
    <w:rsid w:val="002E366A"/>
    <w:rsid w:val="002E7FF8"/>
    <w:rsid w:val="002F68D3"/>
    <w:rsid w:val="0030230A"/>
    <w:rsid w:val="00304502"/>
    <w:rsid w:val="00320F55"/>
    <w:rsid w:val="00324AD6"/>
    <w:rsid w:val="00330388"/>
    <w:rsid w:val="003404AD"/>
    <w:rsid w:val="00342093"/>
    <w:rsid w:val="00354911"/>
    <w:rsid w:val="003910A2"/>
    <w:rsid w:val="00392954"/>
    <w:rsid w:val="003A081E"/>
    <w:rsid w:val="003A234B"/>
    <w:rsid w:val="003C3CDB"/>
    <w:rsid w:val="003D1C64"/>
    <w:rsid w:val="003D65B4"/>
    <w:rsid w:val="003F4D9B"/>
    <w:rsid w:val="0041286F"/>
    <w:rsid w:val="00426B2B"/>
    <w:rsid w:val="00441EF4"/>
    <w:rsid w:val="00444F0A"/>
    <w:rsid w:val="00445EEC"/>
    <w:rsid w:val="00450CCD"/>
    <w:rsid w:val="00482A58"/>
    <w:rsid w:val="00485E18"/>
    <w:rsid w:val="004A07E8"/>
    <w:rsid w:val="004A30CE"/>
    <w:rsid w:val="004A5B82"/>
    <w:rsid w:val="004B70EE"/>
    <w:rsid w:val="004C5F00"/>
    <w:rsid w:val="004F4CD5"/>
    <w:rsid w:val="004F57D2"/>
    <w:rsid w:val="00500578"/>
    <w:rsid w:val="005018DE"/>
    <w:rsid w:val="00522571"/>
    <w:rsid w:val="00523808"/>
    <w:rsid w:val="00542DB0"/>
    <w:rsid w:val="00570BC7"/>
    <w:rsid w:val="00590013"/>
    <w:rsid w:val="005937BF"/>
    <w:rsid w:val="00596BBD"/>
    <w:rsid w:val="005A1AAB"/>
    <w:rsid w:val="005B0714"/>
    <w:rsid w:val="005B0AB2"/>
    <w:rsid w:val="005B7CDA"/>
    <w:rsid w:val="005D1885"/>
    <w:rsid w:val="005D29AA"/>
    <w:rsid w:val="005D5EB1"/>
    <w:rsid w:val="005E43CE"/>
    <w:rsid w:val="00612D1A"/>
    <w:rsid w:val="006239E7"/>
    <w:rsid w:val="006240B0"/>
    <w:rsid w:val="006278BA"/>
    <w:rsid w:val="00634AF4"/>
    <w:rsid w:val="0063710C"/>
    <w:rsid w:val="00651C97"/>
    <w:rsid w:val="0065201D"/>
    <w:rsid w:val="00655175"/>
    <w:rsid w:val="00667829"/>
    <w:rsid w:val="006739A0"/>
    <w:rsid w:val="0067709E"/>
    <w:rsid w:val="006921E2"/>
    <w:rsid w:val="006A4B86"/>
    <w:rsid w:val="006A5D65"/>
    <w:rsid w:val="006A6955"/>
    <w:rsid w:val="006B300A"/>
    <w:rsid w:val="006B3375"/>
    <w:rsid w:val="006C0DAF"/>
    <w:rsid w:val="006C0E0B"/>
    <w:rsid w:val="006D244F"/>
    <w:rsid w:val="006D3ABE"/>
    <w:rsid w:val="006E182D"/>
    <w:rsid w:val="006E44CD"/>
    <w:rsid w:val="006E7F91"/>
    <w:rsid w:val="006F6EF9"/>
    <w:rsid w:val="007072BB"/>
    <w:rsid w:val="00717AA2"/>
    <w:rsid w:val="007245E5"/>
    <w:rsid w:val="00727D91"/>
    <w:rsid w:val="00736435"/>
    <w:rsid w:val="00746B18"/>
    <w:rsid w:val="00761919"/>
    <w:rsid w:val="00770027"/>
    <w:rsid w:val="007742C6"/>
    <w:rsid w:val="00774A85"/>
    <w:rsid w:val="00785930"/>
    <w:rsid w:val="00790AF0"/>
    <w:rsid w:val="00794A8A"/>
    <w:rsid w:val="007C0434"/>
    <w:rsid w:val="007C34F7"/>
    <w:rsid w:val="007D1837"/>
    <w:rsid w:val="007D1923"/>
    <w:rsid w:val="007D78B7"/>
    <w:rsid w:val="007E5A59"/>
    <w:rsid w:val="007F2911"/>
    <w:rsid w:val="007F615A"/>
    <w:rsid w:val="007F6E6B"/>
    <w:rsid w:val="00811C5C"/>
    <w:rsid w:val="00817643"/>
    <w:rsid w:val="00853871"/>
    <w:rsid w:val="008539C8"/>
    <w:rsid w:val="00856142"/>
    <w:rsid w:val="00862490"/>
    <w:rsid w:val="008663B9"/>
    <w:rsid w:val="00873B78"/>
    <w:rsid w:val="00885F87"/>
    <w:rsid w:val="00887296"/>
    <w:rsid w:val="0089304A"/>
    <w:rsid w:val="0089511E"/>
    <w:rsid w:val="008B6636"/>
    <w:rsid w:val="008D2F04"/>
    <w:rsid w:val="0090221B"/>
    <w:rsid w:val="009078ED"/>
    <w:rsid w:val="009129E7"/>
    <w:rsid w:val="00923176"/>
    <w:rsid w:val="00924C81"/>
    <w:rsid w:val="00940FF4"/>
    <w:rsid w:val="00961780"/>
    <w:rsid w:val="00973A38"/>
    <w:rsid w:val="00974901"/>
    <w:rsid w:val="00975032"/>
    <w:rsid w:val="00983500"/>
    <w:rsid w:val="00990F6C"/>
    <w:rsid w:val="009D333D"/>
    <w:rsid w:val="009E3C14"/>
    <w:rsid w:val="00A11F70"/>
    <w:rsid w:val="00A135F4"/>
    <w:rsid w:val="00A31C43"/>
    <w:rsid w:val="00A37499"/>
    <w:rsid w:val="00A454B4"/>
    <w:rsid w:val="00A744D4"/>
    <w:rsid w:val="00A80B23"/>
    <w:rsid w:val="00A87CA2"/>
    <w:rsid w:val="00A9289E"/>
    <w:rsid w:val="00A94CC1"/>
    <w:rsid w:val="00AB1144"/>
    <w:rsid w:val="00AB3277"/>
    <w:rsid w:val="00AB3ADE"/>
    <w:rsid w:val="00AB6480"/>
    <w:rsid w:val="00AD0D6B"/>
    <w:rsid w:val="00AD1F24"/>
    <w:rsid w:val="00B02229"/>
    <w:rsid w:val="00B03891"/>
    <w:rsid w:val="00B17A6C"/>
    <w:rsid w:val="00B26C42"/>
    <w:rsid w:val="00B30FE2"/>
    <w:rsid w:val="00B34DB4"/>
    <w:rsid w:val="00B616CD"/>
    <w:rsid w:val="00B77355"/>
    <w:rsid w:val="00BA59D1"/>
    <w:rsid w:val="00BB2F2F"/>
    <w:rsid w:val="00BB5D3D"/>
    <w:rsid w:val="00BD596E"/>
    <w:rsid w:val="00BE40D9"/>
    <w:rsid w:val="00BE64E3"/>
    <w:rsid w:val="00C00689"/>
    <w:rsid w:val="00C3177B"/>
    <w:rsid w:val="00C55991"/>
    <w:rsid w:val="00C64AB4"/>
    <w:rsid w:val="00C662C8"/>
    <w:rsid w:val="00C74ECA"/>
    <w:rsid w:val="00CA1DDA"/>
    <w:rsid w:val="00CB43FE"/>
    <w:rsid w:val="00CB5E6A"/>
    <w:rsid w:val="00CD0442"/>
    <w:rsid w:val="00CD0CA6"/>
    <w:rsid w:val="00CD3E5E"/>
    <w:rsid w:val="00CE3A22"/>
    <w:rsid w:val="00CE44CA"/>
    <w:rsid w:val="00CE7392"/>
    <w:rsid w:val="00CF33A9"/>
    <w:rsid w:val="00CF6027"/>
    <w:rsid w:val="00CF749A"/>
    <w:rsid w:val="00D0020A"/>
    <w:rsid w:val="00D2605D"/>
    <w:rsid w:val="00D41B0D"/>
    <w:rsid w:val="00D54459"/>
    <w:rsid w:val="00D66B77"/>
    <w:rsid w:val="00D7715D"/>
    <w:rsid w:val="00D848A3"/>
    <w:rsid w:val="00D8573B"/>
    <w:rsid w:val="00D93613"/>
    <w:rsid w:val="00D93883"/>
    <w:rsid w:val="00D95C56"/>
    <w:rsid w:val="00DB2AD3"/>
    <w:rsid w:val="00DC0365"/>
    <w:rsid w:val="00DC53DC"/>
    <w:rsid w:val="00DD4B95"/>
    <w:rsid w:val="00DE6BE1"/>
    <w:rsid w:val="00DF0AD1"/>
    <w:rsid w:val="00E1799C"/>
    <w:rsid w:val="00E365AF"/>
    <w:rsid w:val="00E42220"/>
    <w:rsid w:val="00E54831"/>
    <w:rsid w:val="00E91E36"/>
    <w:rsid w:val="00EA0057"/>
    <w:rsid w:val="00EB4A19"/>
    <w:rsid w:val="00EB70B9"/>
    <w:rsid w:val="00EE0060"/>
    <w:rsid w:val="00EE2F43"/>
    <w:rsid w:val="00F035C0"/>
    <w:rsid w:val="00F05E82"/>
    <w:rsid w:val="00F076AE"/>
    <w:rsid w:val="00F104D4"/>
    <w:rsid w:val="00F325AB"/>
    <w:rsid w:val="00F72D2E"/>
    <w:rsid w:val="00F77701"/>
    <w:rsid w:val="00F958EB"/>
    <w:rsid w:val="00F97B9F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75AB79-D5F5-47CA-B4F1-28C94BF5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A30CE"/>
    <w:pPr>
      <w:keepNext/>
      <w:outlineLvl w:val="0"/>
    </w:pPr>
    <w:rPr>
      <w:rFonts w:ascii="Bookman Old Style" w:hAnsi="Bookman Old Style"/>
      <w:b/>
      <w:kern w:val="28"/>
      <w:sz w:val="22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E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4A30CE"/>
    <w:rPr>
      <w:rFonts w:ascii="Bookman Old Style" w:hAnsi="Bookman Old Style"/>
      <w:b/>
      <w:kern w:val="28"/>
      <w:sz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6240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9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09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66B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66B77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66B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66B7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84D0-EBFC-43EC-8BF6-66A99E9B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para adquisición de vehículo marino, para vigilancia e inspección de Zona Federal Marítimo Terrestre</vt:lpstr>
    </vt:vector>
  </TitlesOfParts>
  <Company>Municipio de Cabo Corrientes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para adquisición de vehículo marino, para vigilancia e inspección de Zona Federal Marítimo Terrestre</dc:title>
  <dc:subject/>
  <dc:creator>Presidencia Municipal</dc:creator>
  <cp:keywords/>
  <cp:lastModifiedBy>Omar Neyl MG</cp:lastModifiedBy>
  <cp:revision>2</cp:revision>
  <cp:lastPrinted>2018-10-10T15:36:00Z</cp:lastPrinted>
  <dcterms:created xsi:type="dcterms:W3CDTF">2022-02-09T16:14:00Z</dcterms:created>
  <dcterms:modified xsi:type="dcterms:W3CDTF">2022-02-09T16:14:00Z</dcterms:modified>
</cp:coreProperties>
</file>